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1" w:rsidRDefault="004735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5F1" w:rsidRDefault="004735F1">
      <w:pPr>
        <w:pStyle w:val="ConsPlusNormal"/>
        <w:jc w:val="both"/>
        <w:outlineLvl w:val="0"/>
      </w:pPr>
    </w:p>
    <w:p w:rsidR="004735F1" w:rsidRDefault="004735F1">
      <w:pPr>
        <w:pStyle w:val="ConsPlusNormal"/>
        <w:outlineLvl w:val="0"/>
      </w:pPr>
      <w:r>
        <w:t>Зарегистрировано в Минюсте России 28 июля 2017 г. N 47576</w:t>
      </w:r>
    </w:p>
    <w:p w:rsidR="004735F1" w:rsidRDefault="00473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735F1" w:rsidRDefault="004735F1">
      <w:pPr>
        <w:pStyle w:val="ConsPlusTitle"/>
        <w:jc w:val="both"/>
      </w:pPr>
    </w:p>
    <w:p w:rsidR="004735F1" w:rsidRDefault="004735F1">
      <w:pPr>
        <w:pStyle w:val="ConsPlusTitle"/>
        <w:jc w:val="center"/>
      </w:pPr>
      <w:r>
        <w:t>ПРИКАЗ</w:t>
      </w:r>
    </w:p>
    <w:p w:rsidR="004735F1" w:rsidRDefault="004735F1">
      <w:pPr>
        <w:pStyle w:val="ConsPlusTitle"/>
        <w:jc w:val="center"/>
      </w:pPr>
      <w:r>
        <w:t>от 31 мая 2017 г. N 466н</w:t>
      </w:r>
    </w:p>
    <w:p w:rsidR="004735F1" w:rsidRDefault="004735F1">
      <w:pPr>
        <w:pStyle w:val="ConsPlusTitle"/>
        <w:jc w:val="both"/>
      </w:pPr>
    </w:p>
    <w:p w:rsidR="004735F1" w:rsidRDefault="004735F1">
      <w:pPr>
        <w:pStyle w:val="ConsPlusTitle"/>
        <w:jc w:val="center"/>
      </w:pPr>
      <w:r>
        <w:t>ОБ УТВЕРЖДЕНИИ ПРАВИЛ</w:t>
      </w:r>
    </w:p>
    <w:p w:rsidR="004735F1" w:rsidRDefault="004735F1">
      <w:pPr>
        <w:pStyle w:val="ConsPlusTitle"/>
        <w:jc w:val="center"/>
      </w:pPr>
      <w:r>
        <w:t>ПО ОХРАНЕ ТРУДА ПРИ ПРОВЕДЕНИИ РАБОТ</w:t>
      </w:r>
    </w:p>
    <w:p w:rsidR="004735F1" w:rsidRDefault="004735F1">
      <w:pPr>
        <w:pStyle w:val="ConsPlusTitle"/>
        <w:jc w:val="center"/>
      </w:pPr>
      <w:r>
        <w:t>В ЛЕГКОЙ ПРОМЫШЛЕННОСТИ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проведении работ в легкой промышленности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right"/>
      </w:pPr>
      <w:r>
        <w:t>Министр</w:t>
      </w:r>
    </w:p>
    <w:p w:rsidR="004735F1" w:rsidRDefault="004735F1">
      <w:pPr>
        <w:pStyle w:val="ConsPlusNormal"/>
        <w:jc w:val="right"/>
      </w:pPr>
      <w:r>
        <w:t>М.А.ТОПИЛИН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right"/>
        <w:outlineLvl w:val="0"/>
      </w:pPr>
      <w:r>
        <w:t>Приложение</w:t>
      </w:r>
    </w:p>
    <w:p w:rsidR="004735F1" w:rsidRDefault="004735F1">
      <w:pPr>
        <w:pStyle w:val="ConsPlusNormal"/>
        <w:jc w:val="right"/>
      </w:pPr>
      <w:r>
        <w:t>к приказу Министерства труда</w:t>
      </w:r>
    </w:p>
    <w:p w:rsidR="004735F1" w:rsidRDefault="004735F1">
      <w:pPr>
        <w:pStyle w:val="ConsPlusNormal"/>
        <w:jc w:val="right"/>
      </w:pPr>
      <w:r>
        <w:t>и социальной защиты</w:t>
      </w:r>
    </w:p>
    <w:p w:rsidR="004735F1" w:rsidRDefault="004735F1">
      <w:pPr>
        <w:pStyle w:val="ConsPlusNormal"/>
        <w:jc w:val="right"/>
      </w:pPr>
      <w:r>
        <w:t>Российской Федерации</w:t>
      </w:r>
    </w:p>
    <w:p w:rsidR="004735F1" w:rsidRDefault="004735F1">
      <w:pPr>
        <w:pStyle w:val="ConsPlusNormal"/>
        <w:jc w:val="right"/>
      </w:pPr>
      <w:r>
        <w:t>от 31 мая 2017 г. N 466н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</w:pPr>
      <w:bookmarkStart w:id="0" w:name="P30"/>
      <w:bookmarkEnd w:id="0"/>
      <w:r>
        <w:t>ПРАВИЛА</w:t>
      </w:r>
    </w:p>
    <w:p w:rsidR="004735F1" w:rsidRDefault="004735F1">
      <w:pPr>
        <w:pStyle w:val="ConsPlusTitle"/>
        <w:jc w:val="center"/>
      </w:pPr>
      <w:r>
        <w:t>ПО ОХРАНЕ ТРУДА ПРИ ПРОВЕДЕНИИ РАБОТ</w:t>
      </w:r>
    </w:p>
    <w:p w:rsidR="004735F1" w:rsidRDefault="004735F1">
      <w:pPr>
        <w:pStyle w:val="ConsPlusTitle"/>
        <w:jc w:val="center"/>
      </w:pPr>
      <w:r>
        <w:t>В ЛЕГКОЙ ПРОМЫШЛЕННОСТИ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I. Общие положения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1. Правила по охране труда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2. Требования Правил обязательны для исполнения работодателями, являющимися </w:t>
      </w:r>
      <w:r>
        <w:lastRenderedPageBreak/>
        <w:t>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 &lt;1&gt;, и требованиями технической (эксплуатационной) документации организации-изготовителя.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5. Работодатель обязан обеспечить: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движущихся машин и механизмов, подвижных частей технологического оборудования, перемещаемых изделий, заготовки, материалов;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повышенной запыленности воздуха рабочей зоны;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повышенной загазованности воздуха рабочей зоны;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повышенной температуры поверхностей оборудования, материалов;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повышенной или пониженной температуры воздуха рабочей зоны;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повышенного уровня шума на рабочем месте;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повышенного уровня вибрации;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повышенного уровня ультразвука;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повышенной или пониженной влажности воздуха;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10) повышенного уровня ионизирующих излучений в рабочей зоне;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11) повышенного значения напряжения в электрической цепи, замыкание которой может произойти через тело человека;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12) повышенного уровня статического электричества;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13) повышенного уровня электромагнитных излучений;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14) недостаточной освещенности рабочей зоны;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15) острых кромок, заусенцев и шероховатости на поверхности заготовок, инструмента и технологического оборудования;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16) расположения рабочего места на значительной высоте относительно поверхности пола (земли);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17) химических и токсических опасных и вредных производственных факторов, влияющих на кожные покровы и слизистые оболочки;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18) микроорганизмов;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19) физических перегрузок (статические и динамические);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20) нервно-психических перегрузок.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II. Требования охраны труда при организации</w:t>
      </w:r>
    </w:p>
    <w:p w:rsidR="004735F1" w:rsidRDefault="004735F1">
      <w:pPr>
        <w:pStyle w:val="ConsPlusTitle"/>
        <w:jc w:val="center"/>
      </w:pPr>
      <w:r>
        <w:t>выполнения работ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9. К выполнению работ допускаются работники, прошедшие обучение по охране труда и проверку знаний требований охраны труда в установленном порядке &lt;2&gt;.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и Минобрнауки России от 30 ноября 2016 г. N 697н/1490 (зарегистрирован Минюстом России 16 декабря 2016 г., регистрационный N 44767).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работников и видов работ, к выполнению которых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10. Работодатель обеспечивает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установленном порядке &lt;3&gt;.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ограничивается применение труда женщин. Перечни работ с вредными и (или) опасными условиями труда, на которых ограничивается применение труда женщин, утверждаются в установленном порядке &lt;4&gt;.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Запрещается применение труда лиц в возрасте до восемнадцати лет на работах с вредными и (или) опасными условиями труда. Перечни работ, на которых запрещается применение труда лиц в возрасте до восемнадцати лет, утверждаются в установленном порядке &lt;5&gt;.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11.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&lt;6&gt;.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</w:t>
      </w:r>
      <w:r>
        <w:lastRenderedPageBreak/>
        <w:t>работников о полагающихся им СИЗ.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работодателем с учетом требований безопасности для конкретных видов работ.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13. В соответствии со </w:t>
      </w:r>
      <w:hyperlink r:id="rId14" w:history="1">
        <w:r>
          <w:rPr>
            <w:color w:val="0000FF"/>
          </w:rPr>
          <w:t>статьей 223</w:t>
        </w:r>
      </w:hyperlink>
      <w:r>
        <w:t xml:space="preserve"> Трудового кодекса Российской Федерации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 &lt;7&gt;, установлены аппараты (устройства) для обеспечения работников горячих цехов и участков газированной соленой водой.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14. Работодатель обеспечивает расследование, оформление, регистрацию и учет несчастных случаев, происшедших с работниками,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&lt;8&gt;.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Статьи 223</w:t>
        </w:r>
      </w:hyperlink>
      <w:r>
        <w:t xml:space="preserve">, </w:t>
      </w:r>
      <w:hyperlink r:id="rId18" w:history="1">
        <w:r>
          <w:rPr>
            <w:color w:val="0000FF"/>
          </w:rPr>
          <w:t>227</w:t>
        </w:r>
      </w:hyperlink>
      <w:r>
        <w:t xml:space="preserve"> - </w:t>
      </w:r>
      <w:hyperlink r:id="rId19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2009, N 19, ст. 2270; N 48, ст. 5717; 2011, N 30, ст. 4590; 2013, N 27, ст. 3477; N 48, ст. 6165; 2015, N 14, ст. 2022).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4735F1" w:rsidRDefault="004735F1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15. При организации рабочих мест охрана труда работников обеспечивается: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удобным и безопасным обращением с материалами, заготовками, полуфабрикатами;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4) регулярным техническим обслуживанием и ремонтом технологического оборудования, инструмента и приспособлений.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16. Рабочие места следует размещать: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17. При организации и размещении рабочих мест, эксплуатации технологического и иного оборудования должны соблюдаться требования </w:t>
      </w:r>
      <w:hyperlink r:id="rId20" w:history="1">
        <w:r>
          <w:rPr>
            <w:color w:val="0000FF"/>
          </w:rPr>
          <w:t>Правил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оборудования,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машин и оборудования" &lt;9&gt; и других нормативных правовых актов, содержащих государственные нормативные требования охраны труда.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42880);</w:t>
      </w:r>
    </w:p>
    <w:p w:rsidR="004735F1" w:rsidRDefault="004735F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 в редакции решений Коллегии Евразийской экономической комиссии от 4 декабря 2012 г. N 248 и от 19 мая 2015 г. N 55 и решения Совета Евразийской экономической комиссии от 16 мая 2016 г. N 37 (официальный сайт Комиссии Таможенного союза http://www.tsouz.ru/, 21 октября 2011 г.).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4735F1" w:rsidRDefault="004735F1">
      <w:pPr>
        <w:pStyle w:val="ConsPlusTitle"/>
        <w:jc w:val="center"/>
      </w:pPr>
      <w:r>
        <w:t>производственных процессов и выполнении работ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Общие требования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18. Охрана труда работников, участвующих в осуществлении производственных процессов и выполнении работ в легкой промышленности, обеспечивается: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автоматизацией и герметизацией производственных процессов, являющихся источником вредных и (или) опасных производственных факторов;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заменой токсичных и горючих веществ менее токсичными, нетоксичными и негорючими веществами;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5) устранением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Перечень работ с повышенной опасностью, выполняемых по нарядам-допускам, утверждается работодателем.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21.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 &lt;10&gt;.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22. Перемещение и размещение заготовок, исходных и вспомогательных материалов, готовых изделий и отходов производства с применением грузоподъемных машин и механизмов должно производиться в соответствии с требованиями </w:t>
      </w:r>
      <w:hyperlink r:id="rId26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&lt;11&gt;.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При выполнении работ, связанных с использованием ручного труда женщин и работников в возрасте до восемнадцати лет, должны соблюдаться установленные нормы предельно допустимых физических нагрузок при подъеме и перемещении тяжестей вручную &lt;12&gt;.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6 февраля 1993 г. N 105 "О новых нормах предельно допустимых нагрузок для женщин при подъеме и </w:t>
      </w:r>
      <w:r>
        <w:lastRenderedPageBreak/>
        <w:t>перемещении тяжестей вручную" (Собрание актов Президента и Правительства Российской Федерации, 1993, N 7, ст. 566);</w:t>
      </w:r>
    </w:p>
    <w:p w:rsidR="004735F1" w:rsidRDefault="004735F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4735F1" w:rsidRDefault="004735F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N 1817).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23. Обслуживание электроустановок, используемых при выполнении работ, проведение в них оперативных переключений, организация и выполнение ремонтных, монтажных или наладочных работ и испытаний должны осуществляться электротехническим персоналом в соответствии с требованиями </w:t>
      </w:r>
      <w:hyperlink r:id="rId31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электроустановок &lt;13&gt;.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 (зарегистрирован Минюстом России 13 апреля 2016 г., регистрационный N 41781).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 xml:space="preserve">24.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используемых при проведении работ, должна осуществляться в соответствии с требованиями </w:t>
      </w:r>
      <w:hyperlink r:id="rId33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тепловых энергоустановок &lt;14&gt;.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регистрационный N 39138).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25.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26.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27.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28. Нагревательные и сушильные печи должны быть обеспечены устройствами для удаления горячих газов на участках загрузки и выгрузки.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Выпуск горячих газов из нагревательных и сушильных печей в производственное помещение запрещается.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29.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30.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31. Технологическое оборудование, в котором используются вода и водные технологические растворы с температурой выше 30 °С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32.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Рециркуляция воздуха в производственных помещениях запрещается.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33.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34. Процессы загрузки, выгрузки и транспортировки сырья, полуфабрикатов, готовых изделий, удаления обратов и отходов производства на всех стадиях производственного процесса должны быть механизированы.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35. Приготовление растворов, аппретов, эмульсий, красителей должно осуществляться централизованно в специальных изолированных помещениях, оборудованных системой приточно-вытяжнои вентиляции, а подача их к технологическому оборудованию должна быть механизирована.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36. Приготовление растворов полиизоцианата для полиуретановых клеев должно производиться в вытяжных шкафах.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37. Открытые котлы и баки должны быть ограждены.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38.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разбрызгивание, разлив и испарение.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39.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приточно-вытяжнои и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40. При неработающей либо неисправной системе местной вытяжной вентиляции запрещается проведение работ, выполняемых: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в мочильных камерах напольного типа;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моченцовои трестой и на входе и выходе тресты из отжимно-промывных машин);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3) в сушильных камерах (в местах загрузки и выгрузки тресты);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на мяльных машинах (со стороны слоеформирующего механизма);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в трепальных машинах;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при эксплуатации съемного колеса длинного волокна;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при эксплуатации куделеприготовительного агрегата;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на трясильных машинах;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на столах деления горстей;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10) на прессах тюковки волокна;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11) в местах спада костры из клеесмесителя на транспортер;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13) на прессах костроплит;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14) на обрезных и шлифовальных станках.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проведении прядения</w:t>
      </w:r>
    </w:p>
    <w:p w:rsidR="004735F1" w:rsidRDefault="004735F1">
      <w:pPr>
        <w:pStyle w:val="ConsPlusTitle"/>
        <w:jc w:val="center"/>
      </w:pPr>
      <w:r>
        <w:t>текстильных волокон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41. При проведении прядения текстильных волокон должна быть предусмотрена механизация следующих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очистка и разбраковка шпуль;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перемещение катушкодержателей и бобинодержателей к аппаратам и из аппарата в аппарат.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42.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43.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44.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45.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46. Ликвидация обрыва нити в процессе кручения должна осуществляться при остановленном веретене.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47. Перед заправкой жгута расправитель должен быть остановлен.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тканей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48. При производстве тканей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транспортировка ткацких навоев и уточной пряжи;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49. В зоне формирования ленты при переработке хлопчатобумажной пряжи на бесчелночных ткацких станках должен быть предусмотрен местный отсос пыли.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50. В целях уменьшения воздействия на работников ткацких производств производственного шума необходимо: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применять средства индивидуальной защиты органов слуха;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нетканых</w:t>
      </w:r>
    </w:p>
    <w:p w:rsidR="004735F1" w:rsidRDefault="004735F1">
      <w:pPr>
        <w:pStyle w:val="ConsPlusTitle"/>
        <w:jc w:val="center"/>
      </w:pPr>
      <w:r>
        <w:t>текстильных материалов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51.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подача в сортировочное отделение кип волокна, отходов и обратов производства, входящих в смесь;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загрузка кип волокна в разрыхлители;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удаление отходов из-под машин и аппаратов;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съемка и заправка настила на трепальных машинах;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загрузка и снятие продукции;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при подготовке волокнистого настила: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подача волокнистой смеси в чесальные машины и аппараты;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перемещение волокнистой смеси между машинами;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чистка гарнитуры чесальных машин;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установка съемных и рабочих валиков для барабанов чесальных машин (аппаратов);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при производстве иглопробивных нетканых полотен: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- процесс образования волокнистого холста;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подача волокнистой смеси из лабаза в бункер чесальной машины;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процессы чесания, иглопробивания, пропитки, отжима и сушки, намотки рулонов полотна;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установка каркасного материала на агрегат;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52.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53.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54.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отделке и крашении тканей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55. При отделке и крашении тканей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транспортировка сырой ткани;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при подготовке полотна к отбеливанию, крашению: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процесс разбраковки сурового полотна;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 укладка на стеллажи для отлеживания сурового полотна и его съем;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заправка полотна при печати полотна.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56. Процессы крашения и кислования должны осуществляться при работающем вытяжном устройстве.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Баки для крашения должны быть окружены дренажными каналами.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57. При отбеливании, мерсеризации и крашении тканей должны быть приняты меры по защите работников от химических ожогов едкими щелочами и кислотами и от обваривания используемой при обработке ткани кипящей жидкостью.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58.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59.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</w:t>
      </w:r>
      <w:r>
        <w:lastRenderedPageBreak/>
        <w:t>остановленных машинах.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60.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61.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62. В процессе сушки ткани двери сушильной машины должны быть закрыты и заперты.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63. При стабилизации и термофиксации ткани необходимо обеспечить ее охлаждение на выходе из оборудования до температуры не выше 40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64.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65.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°С. Подача пара и газа при этом должна быть прекращена.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66.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67. Укладывание ткани в ямы для лежания должно быть механизировано или автоматизировано.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Запрещается укладывать ткани выше бортов ямы.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68. Загрузка и выгрузка вертикальных варочных котлов должна производиться с помощью механических или автоматических укладчиков.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69.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70.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71.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72.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При фиксации ткани должно быть обеспечено ее охлаждение на выходе до температуры не выше 40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73.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74.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шерстяных тканей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75. При производстве шерстяных тканей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подача полуфабрикатов к машинам и от машин;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удаление пыли и пуха;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съем и установка стригальных аппаратов, заточка ножей.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76. Заправку ткани в стригальные ножи и самоклад, расправку кромок ткани необходимо производить после остановки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77. Правку плоского ножа допускается производить только при отведенном стригальном цилиндре и при полной остановке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78.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79.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80.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81.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82.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83.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84. Съем и установка стригальных аппаратов должны производиться при надетых на лезвия ножей чехлах.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85. Удаление пыли и пуха от стригальных машин должно быть механизировано.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86. Обжигание шерстяных тканей должно производиться в изолированном помещении, оборудованном приточно-вытяжной вентиляцией.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одежды</w:t>
      </w:r>
    </w:p>
    <w:p w:rsidR="004735F1" w:rsidRDefault="004735F1">
      <w:pPr>
        <w:pStyle w:val="ConsPlusTitle"/>
        <w:jc w:val="center"/>
      </w:pPr>
      <w:r>
        <w:t>из текстильных и трикотажных материалов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87. Технологическое оборудование, предназначенное для размотки, промера и разбраковки ткани, должно быть обеспечено приспособлениями для механического или автоматического перемещения рулонов.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88. Установка рулонов трикотажного полотна на настилочные столы должна производиться с помощью подъемно-транспортных механизмов и приспособлений.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89. Раскладка полотна на столы должна производиться с помощью настилочной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Переноска настилочных машин должна быть механизирована.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90.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91. Компоновка частей кроя в пакеты массой более 10 кг запрещается.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92. Обрезь от швейного оборудования должна регулярно удаляться (по мере накопления).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93.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94. Металлическая окантовка лекал, применяемых для раскроя ткани, должна иметь гладкую поверхность без заусениц.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95. При заточке ножей раскройных машин необходимо соблюдать следующие требования: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96. При работе на ручных раскройных машинах необходимо применять средства индивидуальной защиты рук.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97. Для хранения и переноски ленточных ножей должны применяться специальные футляры, исключающие возможность травмирования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98. Над столами для утюжки с пропариванием и над паровоздушными манекенами должны устанавливаться вытяжные зонты.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99. Паровые прессы на участках влажностно-тепловой обработки швейных изделий необходимо оборудовать местными отсосами в виде вытяжных зонтов или щелевых воздухоотсосов вокруг верхних подушек прессов.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100. Резка пленок должна производиться на специально приспособленных для этой цели машинах.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101.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102.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103.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104.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105. На рабочих местах термоотделочников швейных изделий должны использоваться электроизолирующие прокладки или коврики.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106.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</w:t>
      </w:r>
    </w:p>
    <w:p w:rsidR="004735F1" w:rsidRDefault="004735F1">
      <w:pPr>
        <w:pStyle w:val="ConsPlusTitle"/>
        <w:jc w:val="center"/>
      </w:pPr>
      <w:r>
        <w:t>трикотажных изделий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107.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108.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109.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110.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111. Сушка шаблонов должна производиться в специальных камерах или сушильных шкафах, оборудованных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112. Заготовка маточного раствора пергидроля должна быть механизирована или автоматизирована.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Поверхностное охлаждение емкостей с пергидролем холодной водой должно производиться при достижении уровня температуры пергидроля не выше 30 °С.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113. При эксплуатации плоскофанговой машины необходимо соблюдать следующие требования: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5) не оставлять работающую машину без присмотра.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114.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115.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трикотажных</w:t>
      </w:r>
    </w:p>
    <w:p w:rsidR="004735F1" w:rsidRDefault="004735F1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4735F1" w:rsidRDefault="004735F1">
      <w:pPr>
        <w:pStyle w:val="ConsPlusTitle"/>
        <w:jc w:val="center"/>
      </w:pPr>
      <w:r>
        <w:t>и чулочно-носочных автоматах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116. На всех вязальных машинах и автоматах должны быть предусмотрены устройства для автоматической остановки и устройства сигнализации, включающиеся при обрыве и заклинивании нити, изломе игл, наборе петель, выходе из строя соединительной муфты вязального и товароприемного механизмов, перегрузке двигателя и коротком замыкании или обрыве в его цепи, а также наработке холста заданного размера (для машин с наработкой холста в рулон).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117. Устройства сигнализации необходимо устанавливать для каждой машины в отдельности. Кроме того, должно быть установлено общее устройство сигнализации о возникновении технических неполадок.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118. Вязальные машины и автоматы должны быть оборудованы местным освещением вязальных механизмов, внутренней и внешней поверхности холста.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119. Включение освещения внутренней и внешней поверхности холста должно быть раздельным.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120. Расположение светильников должно исключать их механическое повреждение при эксплуатации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121.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122.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123. Жаккардовые барабаны следует помещать в прозрачные небьющиеся кожухи; размещение барабанов должно обеспечить удобство их замены.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124. На машине должно обеспечиваться удобство и безопасность регулирования плотности вязания, а также выполнения операций по замене игл, толкателей, блоков цилиндров и секторов диска.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125. Необходимо предусматривать специальные места для использованных и запасных игл.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126. Иголочные цилиндры должны закрываться звукоизолирующими экранами из органического стекла.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127. Кругловязальные машины должны быть оснащены световой сигнализацией при срабатывании автоматического останова. Машины с цилиндрами диаметром до 190 мм должны дополнительно иметь контрольное устройство для остановки машины при поломке игл.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128. Машины должны быть оснащены встроенной системой пухоудаления с рабочих органов или должны предусматривать возможность подключения такой системы.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129. Машины должны быть снабжены устройством автоматической смазки игл. Применяемые смазочные материалы должны соответствовать установленным требованиям &lt;15&gt;. Применение токсичных и взрывоопасных смазочных материалов не допускается.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&lt;15&gt; Технический </w:t>
      </w:r>
      <w:hyperlink r:id="rId35" w:history="1">
        <w:r>
          <w:rPr>
            <w:color w:val="0000FF"/>
          </w:rPr>
          <w:t>регламент</w:t>
        </w:r>
      </w:hyperlink>
      <w:r>
        <w:t xml:space="preserve"> Таможенного союза ТР ТС 030/2012 "О требованиях к смазочным материалам, маслам и специальным жидкостям", принятый Решением Совета Евразийской экономической комиссии от 20 июля 2012 г. N 59 (официальный сайт Евразийской экономической комиссии http://www.tsouz.ru/, 20 июля 2012 г.).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130. Съем рулонов трикотажного полотна должен производиться с использованием подъемно-транспортных механизмов.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131.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132. Запрещается накидывать петли холста при работающем электродвигателе машины.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133. Заправлять нити следует только при помощи специального крючка.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134.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135. Не разрешается класть на машину иглы, инструмент, щетки для очистки пуха и другое.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136. При включенном электродвигателе не допускается снимать кожух и ограждения.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137. Необходимо следить за тем, чтобы иголочный цилиндр с подвижными иглами был закрыт крышкой.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138. Проверка качества полотна на машине должна производиться только после полной ее остановки.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обработке кожевенного сырья,</w:t>
      </w:r>
    </w:p>
    <w:p w:rsidR="004735F1" w:rsidRDefault="004735F1">
      <w:pPr>
        <w:pStyle w:val="ConsPlusTitle"/>
        <w:jc w:val="center"/>
      </w:pPr>
      <w:r>
        <w:t>дублении и отделке кожи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139.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пробивание отверстий в шкурах перед вывешиванием их на рамы;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перемещение и установка бочек для вытопки жиров;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10) выгрузка шквары из котлов и автоклавов.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140.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141.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барабанное жирование кожи;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щипка, удаление волос, стрижка;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обезжиривание меха;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142.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143.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144. Пробивание отверстий в шкурах перед навеской их на рамы должно осуществляться специальными приспособлениями.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одежды</w:t>
      </w:r>
    </w:p>
    <w:p w:rsidR="004735F1" w:rsidRDefault="004735F1">
      <w:pPr>
        <w:pStyle w:val="ConsPlusTitle"/>
        <w:jc w:val="center"/>
      </w:pPr>
      <w:r>
        <w:t>и других изделий из кожи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145.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раскрой деталей изделий на прессах;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спускание краев деталей изделий;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нанесение клея;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5) сушка нанесенного на детали изделий клея;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окраска краев деталей изделий;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146. Процесс сварки деталей в высокочастотном электрическом поле должен производиться при закрытом экране.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147. При проведении раскроя изделий на прессах подача материалов в настиле в зону раскроя и удаление отходов с рабочего места должны быть механизированы или автоматизированы.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148.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149.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150. При работе с клеями, требующими подогрева, регулирование температуры нагрева клея должно быть автоматическим.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151.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152.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изготовлении обуви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153.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рантовое изготовление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производство обуви методом горячей вулканизации;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производство обуви литьевым способом;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процессы размола отходов из полимеров;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чистка пресс-форм литьевых машин;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изготовление силиконовых матриц;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10) формование верха обуви в силиконовых матрицах на установках токов высокой частоты;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11) клеевые операции, выполняемые вне конвейера.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154.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вырубка деталей низа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раскрой деталей верха обуви.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155.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доставка готовых кож на рабочие места и удаление отходов;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намазочные (клеевые) операции;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шкурение, выравнивание;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фрезерование, шершевание;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комплектование деталей в пачки;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чистка пресс-форм литьевых машин;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резка каучука;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8) загрузка сыпучих материалов в стационарные мешалки;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транспортировка сыпучих материалов к резиносмесителю;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10) межоперационная транспортировка резиновых смесей;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11) подача резиновой ленты к режущим инструментам и отбор заготовок;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12) подъем и опускание пресс-форм и кассет в раствор электролита;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13) загрузка резиновых отходов в смеситель;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14) подача резиновой крошки в промежуточную емкость и в девулканизатор.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156.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нанесение и сушка клея;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фрезерование подошв и каблуков;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окраска уреза подошв;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окраска наружных краев деталей верха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загибка краев деталей верха с использованием клеев-расплавов;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вклеивание задников и подносков;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7) обтяжка и клеевая затяжка заготовок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8) затяжка носочной части обуви пластинами с применением клеев;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10) шлифование, полирование, чистка и отделка обуви;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11) клеймение красками на органических растворителях;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12) паровлажностная обработка;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13) горячий обдув.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157. Заправка мелких деталей в машины для выравнивания, шлифования, профилирования должна производиться с применением специальных приспособлений.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158. Заполнение бачков машин клеем,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159.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160. Сушка деталей обуви с нанесенным на них клеем должна осуществляться в специальных сушильных камерах.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162. Рабочий стол для изготовления силиконовых матриц должен быть оборудован бортовыми отсасывающими устройствами.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165. При чистке пресс-форм запрещается использование диметилформамида в качестве растворителя.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167. При развеске пирофоров следует использовать оборудование, исключающее искрообразование.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168.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169. Охлаждение резиновых изделий должно производиться в шкафу, оборудованном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170. Усадка резины должна осуществляться в термоусадочной камере, оборудованной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171. Высота уложенных на поддон после усадки резины пластин должна быть не более 1,5 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172. В процессе шпальтования резиновых пластин должно быть предусмотрено снятие зарядов статического электричества.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173.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174.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Пресс-формы и кассеты во избежание падения должны быть надежно закреплены.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175. Сушка пресс-форм должна производиться на специальных стеллажах.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176. Процесс дробления резиновых отходов должен осуществляться при работающей местной вытяжной вентиляции.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177.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проведении выделки</w:t>
      </w:r>
    </w:p>
    <w:p w:rsidR="004735F1" w:rsidRDefault="004735F1">
      <w:pPr>
        <w:pStyle w:val="ConsPlusTitle"/>
        <w:jc w:val="center"/>
      </w:pPr>
      <w:r>
        <w:t>и крашении меха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178.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откатка, облагораживание волосяного покрова;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все виды крашения.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179.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обработка кожевой ткани шкур (разбивка, шлифование и мятье);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намазывание шкур;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отделение волосяного покрова шкур;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пролежка склеенных деталей;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расчесывание и подстрижка волосяного покрова;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чистка изделий.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180. При осуществлении производственных процессов, связанных с выделкой и крашением </w:t>
      </w:r>
      <w:r>
        <w:lastRenderedPageBreak/>
        <w:t>меха, должны быть механизированы или автоматизированы следующие операции: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181.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182.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183. Температура и давление в реакторах в процессе приготовления красильных растворов должны поддерживаться автоматически.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184. Пролежка шкур после намазывания должна производиться в вытяжных шкафах или камерах.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185.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2"/>
      </w:pPr>
      <w:r>
        <w:t>Требования охраны труда при производстве изделий из меха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186.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3) правка и сушка головных уборов на агрегатах электроформ;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6) удаление волоса и пыли в процессе раскроя меховых шкур.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187. На участках печатания ярлыков при использовании красителей или растворителей, печатные машины должны оборудоваться местными отсосами в зоне нанесения маркировки.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188.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189. Удаление отходов с рабочих мест в процессе раскроя меховых шкур и пошива должно </w:t>
      </w:r>
      <w:r>
        <w:lastRenderedPageBreak/>
        <w:t>быть механизировано и осуществляться постоянно. Зона раскроя должна быть оборудована местной вытяжной вентиляцией.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190.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191. Скорняжные машины, используемые для сшивания меха с мягким волосяным покровом, должны оборудоваться пневматическими волосозаправочными приспособлениями.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192.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193. Чистка готовых изделий из меха должна осуществляться в вытяжных шкафах механическими или автоматическими щетками.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V. Требования охраны труда, предъявляемые</w:t>
      </w:r>
    </w:p>
    <w:p w:rsidR="004735F1" w:rsidRDefault="004735F1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4735F1" w:rsidRDefault="004735F1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4735F1" w:rsidRDefault="004735F1">
      <w:pPr>
        <w:pStyle w:val="ConsPlusTitle"/>
        <w:jc w:val="center"/>
      </w:pPr>
      <w:r>
        <w:t>и готовой продукции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194. Транспортирование (перемещение) исходных материалов, сырья, полуфабрикатов, отходов производства, а также готовой продукции должно быть механизировано.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195. Проведение погрузочно-разгрузочных работ при транспортировании (перемещении) грузов должно осуществляться в соответствии с требованиями, установленными уполномоченным федеральным органом исполнительной власти &lt;16&gt;.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196. Для хранения тканей, фурнитуры, полуфабриката и готовых изделий в местах хранения должны оборудоваться специальные стеллажи.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197. Укладка кип сырья в штабели должна производиться на деревянные настилы высотой не менее 100 мм.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198.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199. Места хранения тканей должны располагаться на расстоянии не менее 1 м от отопительных систем и нагревательных приборов.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200.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lastRenderedPageBreak/>
        <w:t>201.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202. Содержащие шерстяные волокна производственные отходы, зараженные возбудителями сибирской язвы и других зоонозных инфекций, подлежат уничтожению.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203. В кладовых производственных подразделений разрешается хранить суточный (сменный) запас клеев, растворителей и красителей.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На рабочих местах может находиться не более половины сменного запаса клеев и красителей.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204. Запрещается: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1) хранение клеев на рабочих местах в открытой таре;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205. Синтетические материалы, являющиеся источниками электростатических полей, должны складироваться на металлических подставках с заземляющими устройствами.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Title"/>
        <w:jc w:val="center"/>
        <w:outlineLvl w:val="1"/>
      </w:pPr>
      <w:r>
        <w:t>VI. Заключительные положения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206.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&lt;17&gt;.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325; N 28, ст. 4741);</w:t>
      </w:r>
    </w:p>
    <w:p w:rsidR="004735F1" w:rsidRDefault="004735F1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ind w:firstLine="540"/>
        <w:jc w:val="both"/>
      </w:pPr>
      <w:r>
        <w:t>207.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&lt;18&gt;.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4735F1" w:rsidRDefault="004735F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9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jc w:val="both"/>
      </w:pPr>
    </w:p>
    <w:p w:rsidR="004735F1" w:rsidRDefault="00473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0D4" w:rsidRDefault="004735F1">
      <w:bookmarkStart w:id="1" w:name="_GoBack"/>
      <w:bookmarkEnd w:id="1"/>
    </w:p>
    <w:sectPr w:rsidR="001450D4" w:rsidSect="004C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1"/>
    <w:rsid w:val="000E4A18"/>
    <w:rsid w:val="004735F1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433400FE4E4B1CA6671180A5027012E237B2108444E7A2243q0H" TargetMode="External"/><Relationship Id="rId13" Type="http://schemas.openxmlformats.org/officeDocument/2006/relationships/hyperlink" Target="consultantplus://offline/ref=0C4366856114166D859B855FA3367229F736440AE7E9B1CA6671180A5042q7H" TargetMode="External"/><Relationship Id="rId18" Type="http://schemas.openxmlformats.org/officeDocument/2006/relationships/hyperlink" Target="consultantplus://offline/ref=0C4366856114166D859B855FA3367229F433400FE4E4B1CA6671180A5027012E237B21004644qAH" TargetMode="External"/><Relationship Id="rId26" Type="http://schemas.openxmlformats.org/officeDocument/2006/relationships/hyperlink" Target="consultantplus://offline/ref=0C4366856114166D859B855FA3367229F7364100E6E8B1CA6671180A5027012E237B2108444F782B43q0H" TargetMode="External"/><Relationship Id="rId39" Type="http://schemas.openxmlformats.org/officeDocument/2006/relationships/hyperlink" Target="consultantplus://offline/ref=0C4366856114166D859B855FA3367229F433400FE4E4B1CA6671180A5027012E237B2108444D7B2A43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4366856114166D859B855FA3367229F7384900E1E1B1CA6671180A5027012E237B2108444E7F2A43q1H" TargetMode="External"/><Relationship Id="rId34" Type="http://schemas.openxmlformats.org/officeDocument/2006/relationships/hyperlink" Target="consultantplus://offline/ref=0C4366856114166D859B855FA3367229F7394608E2E0B1CA6671180A5042q7H" TargetMode="External"/><Relationship Id="rId7" Type="http://schemas.openxmlformats.org/officeDocument/2006/relationships/hyperlink" Target="consultantplus://offline/ref=0C4366856114166D859B855FA3367229F430480FE5E2B1CA6671180A5027012E237B2108444F782E43q6H" TargetMode="External"/><Relationship Id="rId12" Type="http://schemas.openxmlformats.org/officeDocument/2006/relationships/hyperlink" Target="consultantplus://offline/ref=0C4366856114166D859B855FA3367229F730440DE5E7B1CA6671180A5042q7H" TargetMode="External"/><Relationship Id="rId17" Type="http://schemas.openxmlformats.org/officeDocument/2006/relationships/hyperlink" Target="consultantplus://offline/ref=0C4366856114166D859B855FA3367229F433400FE4E4B1CA6671180A5027012E237B2108444D7C2C43q5H" TargetMode="External"/><Relationship Id="rId25" Type="http://schemas.openxmlformats.org/officeDocument/2006/relationships/hyperlink" Target="consultantplus://offline/ref=0C4366856114166D859B855FA3367229F4314308E2E0B1CA6671180A5042q7H" TargetMode="External"/><Relationship Id="rId33" Type="http://schemas.openxmlformats.org/officeDocument/2006/relationships/hyperlink" Target="consultantplus://offline/ref=0C4366856114166D859B855FA3367229F7394608E2E0B1CA6671180A5027012E237B2108444F782B43q0H" TargetMode="External"/><Relationship Id="rId38" Type="http://schemas.openxmlformats.org/officeDocument/2006/relationships/hyperlink" Target="consultantplus://offline/ref=0C4366856114166D859B855FA3367229F7394308E7E2B1CA6671180A5042q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4366856114166D859B855FA3367229F433400FE4E4B1CA6671180A5027012E237B21004C44q9H" TargetMode="External"/><Relationship Id="rId20" Type="http://schemas.openxmlformats.org/officeDocument/2006/relationships/hyperlink" Target="consultantplus://offline/ref=0C4366856114166D859B855FA3367229F4314308E2E0B1CA6671180A5027012E237B2108444F782B43q0H" TargetMode="External"/><Relationship Id="rId29" Type="http://schemas.openxmlformats.org/officeDocument/2006/relationships/hyperlink" Target="consultantplus://offline/ref=0C4366856114166D859B855FA3367229F437420BEAEAECC06E28140845q7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366856114166D859B855FA3367229F433400FE4E4B1CA6671180A5027012E237B2108414847q1H" TargetMode="External"/><Relationship Id="rId11" Type="http://schemas.openxmlformats.org/officeDocument/2006/relationships/hyperlink" Target="consultantplus://offline/ref=0C4366856114166D859B855FA3367229F437420BEAEAECC06E28140845q7H" TargetMode="External"/><Relationship Id="rId24" Type="http://schemas.openxmlformats.org/officeDocument/2006/relationships/hyperlink" Target="consultantplus://offline/ref=0C4366856114166D859B855FA3367229F4314308E2E0B1CA6671180A5027012E237B2108444F782B43q0H" TargetMode="External"/><Relationship Id="rId32" Type="http://schemas.openxmlformats.org/officeDocument/2006/relationships/hyperlink" Target="consultantplus://offline/ref=0C4366856114166D859B855FA3367229F7384700E4E1B1CA6671180A5042q7H" TargetMode="External"/><Relationship Id="rId37" Type="http://schemas.openxmlformats.org/officeDocument/2006/relationships/hyperlink" Target="consultantplus://offline/ref=0C4366856114166D859B855FA3367229F431400FE0E4B1CA6671180A5042q7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4366856114166D859B855FA3367229F7304300E4E7B1CA6671180A5042q7H" TargetMode="External"/><Relationship Id="rId23" Type="http://schemas.openxmlformats.org/officeDocument/2006/relationships/hyperlink" Target="consultantplus://offline/ref=0C4366856114166D859B855FA3367229F7384900E1E1B1CA6671180A5042q7H" TargetMode="External"/><Relationship Id="rId28" Type="http://schemas.openxmlformats.org/officeDocument/2006/relationships/hyperlink" Target="consultantplus://offline/ref=0C4366856114166D859B855FA3367229F734490DE9B7E6C837241640qFH" TargetMode="External"/><Relationship Id="rId36" Type="http://schemas.openxmlformats.org/officeDocument/2006/relationships/hyperlink" Target="consultantplus://offline/ref=0C4366856114166D859B855FA3367229F7364100E6E8B1CA6671180A5042q7H" TargetMode="External"/><Relationship Id="rId10" Type="http://schemas.openxmlformats.org/officeDocument/2006/relationships/hyperlink" Target="consultantplus://offline/ref=0C4366856114166D859B855FA3367229F7364500E7E2B1CA6671180A5042q7H" TargetMode="External"/><Relationship Id="rId19" Type="http://schemas.openxmlformats.org/officeDocument/2006/relationships/hyperlink" Target="consultantplus://offline/ref=0C4366856114166D859B855FA3367229F433400FE4E4B1CA6671180A5027012E237B2108444C47q9H" TargetMode="External"/><Relationship Id="rId31" Type="http://schemas.openxmlformats.org/officeDocument/2006/relationships/hyperlink" Target="consultantplus://offline/ref=0C4366856114166D859B855FA3367229F7384700E4E1B1CA6671180A5027012E237B2108444F782B43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366856114166D859B855FA3367229F4314809E5E8B1CA6671180A5042q7H" TargetMode="External"/><Relationship Id="rId14" Type="http://schemas.openxmlformats.org/officeDocument/2006/relationships/hyperlink" Target="consultantplus://offline/ref=0C4366856114166D859B855FA3367229F433400FE4E4B1CA6671180A5027012E237B2108444D7C2C43q5H" TargetMode="External"/><Relationship Id="rId22" Type="http://schemas.openxmlformats.org/officeDocument/2006/relationships/hyperlink" Target="consultantplus://offline/ref=0C4366856114166D859B855FA3367229F4314308E2E0B1CA6671180A5042q7H" TargetMode="External"/><Relationship Id="rId27" Type="http://schemas.openxmlformats.org/officeDocument/2006/relationships/hyperlink" Target="consultantplus://offline/ref=0C4366856114166D859B855FA3367229F7364100E6E8B1CA6671180A5042q7H" TargetMode="External"/><Relationship Id="rId30" Type="http://schemas.openxmlformats.org/officeDocument/2006/relationships/hyperlink" Target="consultantplus://offline/ref=0C4366856114166D859B855FA3367229F432490BE1EAECC06E28140845q7H" TargetMode="External"/><Relationship Id="rId35" Type="http://schemas.openxmlformats.org/officeDocument/2006/relationships/hyperlink" Target="consultantplus://offline/ref=0C4366856114166D859B855FA3367229F7324209E2E6B1CA6671180A5027012E237B2108444F782B43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2017-10-30T07:42:00Z</dcterms:created>
  <dcterms:modified xsi:type="dcterms:W3CDTF">2017-10-30T07:43:00Z</dcterms:modified>
</cp:coreProperties>
</file>