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CD" w:rsidRPr="001236CD" w:rsidRDefault="001236CD" w:rsidP="001236CD">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236CD">
        <w:rPr>
          <w:rFonts w:ascii="Times New Roman" w:eastAsia="Times New Roman" w:hAnsi="Times New Roman" w:cs="Times New Roman"/>
          <w:sz w:val="24"/>
          <w:szCs w:val="24"/>
          <w:lang w:eastAsia="ru-RU"/>
        </w:rPr>
        <w:t>Мэру Шелеховского муниципального района</w:t>
      </w:r>
    </w:p>
    <w:p w:rsidR="001236CD" w:rsidRPr="001236CD" w:rsidRDefault="001236CD" w:rsidP="001236CD">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1236CD" w:rsidRPr="001236CD" w:rsidRDefault="001236CD" w:rsidP="001236CD">
      <w:pPr>
        <w:spacing w:after="0" w:line="240" w:lineRule="auto"/>
        <w:jc w:val="right"/>
        <w:rPr>
          <w:rFonts w:ascii="Times New Roman" w:eastAsia="Times New Roman" w:hAnsi="Times New Roman" w:cs="Times New Roman"/>
          <w:sz w:val="24"/>
          <w:szCs w:val="24"/>
          <w:lang w:eastAsia="ru-RU"/>
        </w:rPr>
      </w:pPr>
      <w:r w:rsidRPr="001236CD">
        <w:rPr>
          <w:rFonts w:ascii="Times New Roman" w:eastAsia="Times New Roman" w:hAnsi="Times New Roman" w:cs="Times New Roman"/>
          <w:sz w:val="24"/>
          <w:szCs w:val="24"/>
          <w:lang w:eastAsia="ru-RU"/>
        </w:rPr>
        <w:t>Заместителям Мэра Шелеховского муниципального района</w:t>
      </w:r>
    </w:p>
    <w:p w:rsidR="001236CD" w:rsidRPr="001236CD" w:rsidRDefault="001236CD" w:rsidP="001236CD">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1236CD" w:rsidRPr="001236CD" w:rsidRDefault="001236CD" w:rsidP="001236CD">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236CD">
        <w:rPr>
          <w:rFonts w:ascii="Times New Roman" w:eastAsia="Times New Roman" w:hAnsi="Times New Roman" w:cs="Times New Roman"/>
          <w:sz w:val="24"/>
          <w:szCs w:val="24"/>
          <w:lang w:eastAsia="ru-RU"/>
        </w:rPr>
        <w:t>Руководителям структурных подразделений</w:t>
      </w:r>
    </w:p>
    <w:p w:rsidR="001236CD" w:rsidRPr="001236CD" w:rsidRDefault="001236CD" w:rsidP="001236CD">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236CD">
        <w:rPr>
          <w:rFonts w:ascii="Times New Roman" w:eastAsia="Times New Roman" w:hAnsi="Times New Roman" w:cs="Times New Roman"/>
          <w:sz w:val="24"/>
          <w:szCs w:val="24"/>
          <w:lang w:eastAsia="ru-RU"/>
        </w:rPr>
        <w:t>Администрации Шелеховского муниципального района</w:t>
      </w:r>
    </w:p>
    <w:p w:rsidR="001236CD" w:rsidRPr="001236CD" w:rsidRDefault="001236CD" w:rsidP="001236CD">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1236CD" w:rsidRPr="001236CD" w:rsidRDefault="001236CD" w:rsidP="001236CD">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236CD">
        <w:rPr>
          <w:rFonts w:ascii="Times New Roman" w:eastAsia="Times New Roman" w:hAnsi="Times New Roman" w:cs="Times New Roman"/>
          <w:sz w:val="24"/>
          <w:szCs w:val="24"/>
          <w:lang w:eastAsia="ru-RU"/>
        </w:rPr>
        <w:t>Депутатам Думы Шелеховского муниципального района</w:t>
      </w:r>
    </w:p>
    <w:p w:rsidR="001236CD" w:rsidRPr="001236CD" w:rsidRDefault="001236CD" w:rsidP="001236CD">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1236CD" w:rsidRPr="001236CD" w:rsidRDefault="001236CD" w:rsidP="001236CD">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1236CD">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1236CD" w:rsidRPr="001236CD" w:rsidRDefault="001236CD" w:rsidP="001236CD">
      <w:pPr>
        <w:spacing w:after="0" w:line="240" w:lineRule="auto"/>
        <w:outlineLvl w:val="0"/>
        <w:rPr>
          <w:rFonts w:ascii="Times New Roman" w:eastAsia="Times New Roman" w:hAnsi="Times New Roman" w:cs="Times New Roman"/>
          <w:sz w:val="24"/>
          <w:szCs w:val="24"/>
          <w:lang w:eastAsia="ru-RU"/>
        </w:rPr>
      </w:pPr>
    </w:p>
    <w:p w:rsidR="001236CD" w:rsidRPr="001236CD" w:rsidRDefault="001236CD" w:rsidP="001236CD">
      <w:pPr>
        <w:autoSpaceDE w:val="0"/>
        <w:autoSpaceDN w:val="0"/>
        <w:spacing w:after="0" w:line="240" w:lineRule="auto"/>
        <w:jc w:val="center"/>
        <w:rPr>
          <w:rFonts w:ascii="Times New Roman" w:eastAsia="Times New Roman" w:hAnsi="Times New Roman" w:cs="Times New Roman"/>
          <w:b/>
          <w:sz w:val="24"/>
          <w:szCs w:val="24"/>
          <w:lang w:eastAsia="ru-RU"/>
        </w:rPr>
      </w:pPr>
      <w:r w:rsidRPr="001236CD">
        <w:rPr>
          <w:rFonts w:ascii="Times New Roman" w:eastAsia="Times New Roman" w:hAnsi="Times New Roman" w:cs="Times New Roman"/>
          <w:b/>
          <w:sz w:val="24"/>
          <w:szCs w:val="24"/>
          <w:lang w:eastAsia="ru-RU"/>
        </w:rPr>
        <w:t>Обзор законодательства за январь 2020 года</w:t>
      </w:r>
    </w:p>
    <w:p w:rsidR="001236CD" w:rsidRPr="001236CD" w:rsidRDefault="001236CD" w:rsidP="001236CD">
      <w:pPr>
        <w:spacing w:after="0" w:line="240" w:lineRule="auto"/>
        <w:rPr>
          <w:rFonts w:ascii="Times New Roman" w:eastAsia="Times New Roman" w:hAnsi="Times New Roman" w:cs="Times New Roman"/>
          <w:sz w:val="24"/>
          <w:szCs w:val="24"/>
          <w:lang w:eastAsia="ru-RU"/>
        </w:rPr>
      </w:pPr>
    </w:p>
    <w:tbl>
      <w:tblPr>
        <w:tblStyle w:val="a6"/>
        <w:tblW w:w="15276" w:type="dxa"/>
        <w:tblLook w:val="04A0" w:firstRow="1" w:lastRow="0" w:firstColumn="1" w:lastColumn="0" w:noHBand="0" w:noVBand="1"/>
      </w:tblPr>
      <w:tblGrid>
        <w:gridCol w:w="562"/>
        <w:gridCol w:w="142"/>
        <w:gridCol w:w="3232"/>
        <w:gridCol w:w="8079"/>
        <w:gridCol w:w="3261"/>
      </w:tblGrid>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hideMark/>
          </w:tcPr>
          <w:p w:rsidR="001236CD" w:rsidRPr="001236CD" w:rsidRDefault="001236CD" w:rsidP="001236CD">
            <w:pPr>
              <w:rPr>
                <w:rFonts w:ascii="Times New Roman" w:eastAsia="Times New Roman" w:hAnsi="Times New Roman"/>
                <w:b/>
                <w:sz w:val="24"/>
                <w:szCs w:val="24"/>
                <w:lang w:eastAsia="ru-RU"/>
              </w:rPr>
            </w:pPr>
            <w:r w:rsidRPr="001236CD">
              <w:rPr>
                <w:rFonts w:ascii="Times New Roman" w:eastAsia="Times New Roman" w:hAnsi="Times New Roman"/>
                <w:b/>
                <w:sz w:val="24"/>
                <w:szCs w:val="24"/>
                <w:lang w:eastAsia="ru-RU"/>
              </w:rPr>
              <w:t>№</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keepNext/>
              <w:autoSpaceDE w:val="0"/>
              <w:autoSpaceDN w:val="0"/>
              <w:jc w:val="center"/>
              <w:outlineLvl w:val="1"/>
              <w:rPr>
                <w:rFonts w:ascii="Times New Roman" w:eastAsia="Arial Unicode MS" w:hAnsi="Times New Roman"/>
                <w:b/>
                <w:lang w:eastAsia="ru-RU"/>
              </w:rPr>
            </w:pPr>
          </w:p>
          <w:p w:rsidR="001236CD" w:rsidRPr="001236CD" w:rsidRDefault="001236CD" w:rsidP="001236CD">
            <w:pPr>
              <w:keepNext/>
              <w:autoSpaceDE w:val="0"/>
              <w:autoSpaceDN w:val="0"/>
              <w:jc w:val="center"/>
              <w:outlineLvl w:val="1"/>
              <w:rPr>
                <w:rFonts w:ascii="Times New Roman" w:eastAsia="Arial Unicode MS" w:hAnsi="Times New Roman"/>
                <w:b/>
                <w:lang w:eastAsia="ru-RU"/>
              </w:rPr>
            </w:pPr>
            <w:r w:rsidRPr="001236CD">
              <w:rPr>
                <w:rFonts w:ascii="Times New Roman" w:eastAsia="Arial Unicode MS" w:hAnsi="Times New Roman"/>
                <w:b/>
                <w:lang w:eastAsia="ru-RU"/>
              </w:rPr>
              <w:t>Наименование акта</w:t>
            </w:r>
            <w:r w:rsidRPr="001236CD">
              <w:rPr>
                <w:rFonts w:ascii="Times New Roman" w:eastAsia="Arial Unicode MS" w:hAnsi="Times New Roman"/>
                <w:sz w:val="26"/>
                <w:szCs w:val="20"/>
                <w:vertAlign w:val="superscript"/>
                <w:lang w:eastAsia="ru-RU"/>
              </w:rPr>
              <w:footnoteReference w:id="1"/>
            </w:r>
          </w:p>
          <w:p w:rsidR="001236CD" w:rsidRPr="001236CD" w:rsidRDefault="001236CD" w:rsidP="001236CD">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keepNext/>
              <w:jc w:val="center"/>
              <w:outlineLvl w:val="0"/>
              <w:rPr>
                <w:rFonts w:ascii="Times New Roman" w:eastAsia="Arial Unicode MS" w:hAnsi="Times New Roman"/>
                <w:b/>
                <w:sz w:val="24"/>
                <w:szCs w:val="24"/>
                <w:lang w:eastAsia="ru-RU"/>
              </w:rPr>
            </w:pPr>
          </w:p>
          <w:p w:rsidR="001236CD" w:rsidRPr="001236CD" w:rsidRDefault="001236CD" w:rsidP="001236CD">
            <w:pPr>
              <w:keepNext/>
              <w:jc w:val="center"/>
              <w:outlineLvl w:val="0"/>
              <w:rPr>
                <w:rFonts w:ascii="Times New Roman" w:eastAsia="Arial Unicode MS" w:hAnsi="Times New Roman"/>
                <w:b/>
                <w:sz w:val="24"/>
                <w:szCs w:val="24"/>
                <w:lang w:eastAsia="ru-RU"/>
              </w:rPr>
            </w:pPr>
            <w:r w:rsidRPr="001236CD">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jc w:val="center"/>
              <w:rPr>
                <w:rFonts w:ascii="Times New Roman" w:eastAsia="Times New Roman" w:hAnsi="Times New Roman"/>
                <w:b/>
                <w:sz w:val="24"/>
                <w:szCs w:val="24"/>
                <w:lang w:eastAsia="ru-RU"/>
              </w:rPr>
            </w:pPr>
          </w:p>
          <w:p w:rsidR="001236CD" w:rsidRPr="001236CD" w:rsidRDefault="001236CD" w:rsidP="001236CD">
            <w:pPr>
              <w:jc w:val="center"/>
              <w:rPr>
                <w:rFonts w:ascii="Times New Roman" w:eastAsia="Times New Roman" w:hAnsi="Times New Roman"/>
                <w:b/>
                <w:sz w:val="24"/>
                <w:szCs w:val="24"/>
                <w:lang w:eastAsia="ru-RU"/>
              </w:rPr>
            </w:pPr>
            <w:r w:rsidRPr="001236CD">
              <w:rPr>
                <w:rFonts w:ascii="Times New Roman" w:eastAsia="Times New Roman" w:hAnsi="Times New Roman"/>
                <w:b/>
                <w:sz w:val="24"/>
                <w:szCs w:val="24"/>
                <w:lang w:eastAsia="ru-RU"/>
              </w:rPr>
              <w:t>Примечания</w:t>
            </w:r>
          </w:p>
        </w:tc>
      </w:tr>
      <w:tr w:rsidR="001236CD" w:rsidRPr="001236CD" w:rsidTr="001236CD">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jc w:val="center"/>
              <w:rPr>
                <w:rFonts w:ascii="Times New Roman" w:eastAsia="Times New Roman" w:hAnsi="Times New Roman"/>
                <w:sz w:val="24"/>
                <w:szCs w:val="24"/>
                <w:lang w:eastAsia="ru-RU"/>
              </w:rPr>
            </w:pPr>
          </w:p>
        </w:tc>
        <w:tc>
          <w:tcPr>
            <w:tcW w:w="14572" w:type="dxa"/>
            <w:gridSpan w:val="3"/>
            <w:tcBorders>
              <w:top w:val="single" w:sz="4" w:space="0" w:color="auto"/>
              <w:left w:val="single" w:sz="4" w:space="0" w:color="auto"/>
              <w:bottom w:val="single" w:sz="4" w:space="0" w:color="auto"/>
              <w:right w:val="single" w:sz="4" w:space="0" w:color="auto"/>
            </w:tcBorders>
            <w:hideMark/>
          </w:tcPr>
          <w:p w:rsidR="001236CD" w:rsidRPr="001236CD" w:rsidRDefault="001236CD" w:rsidP="001236CD">
            <w:pPr>
              <w:jc w:val="center"/>
              <w:rPr>
                <w:rFonts w:ascii="Times New Roman" w:eastAsia="Times New Roman" w:hAnsi="Times New Roman"/>
                <w:sz w:val="24"/>
                <w:szCs w:val="24"/>
                <w:lang w:eastAsia="ru-RU"/>
              </w:rPr>
            </w:pPr>
            <w:r w:rsidRPr="001236CD">
              <w:rPr>
                <w:rFonts w:ascii="Times New Roman" w:eastAsia="Times New Roman" w:hAnsi="Times New Roman"/>
                <w:b/>
                <w:bCs/>
                <w:sz w:val="24"/>
                <w:szCs w:val="24"/>
                <w:lang w:eastAsia="ru-RU"/>
              </w:rPr>
              <w:t>ФЕДЕРАЛЬНОЕ ЗАКОНОДАТЕЛЬСТВО</w:t>
            </w: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numPr>
                <w:ilvl w:val="0"/>
                <w:numId w:val="1"/>
              </w:numPr>
              <w:ind w:left="357" w:hanging="357"/>
              <w:contextualSpacing/>
              <w:rPr>
                <w:rFonts w:ascii="Times New Roman" w:eastAsia="Times New Roman" w:hAnsi="Times New Roman"/>
                <w:bCs/>
                <w:sz w:val="24"/>
                <w:szCs w:val="24"/>
                <w:lang w:eastAsia="ru-RU"/>
              </w:rPr>
            </w:pP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left="-108"/>
              <w:jc w:val="both"/>
              <w:rPr>
                <w:rFonts w:ascii="Times New Roman" w:hAnsi="Times New Roman"/>
                <w:sz w:val="24"/>
                <w:szCs w:val="24"/>
              </w:rPr>
            </w:pPr>
            <w:r w:rsidRPr="001236CD">
              <w:rPr>
                <w:rFonts w:ascii="Times New Roman" w:hAnsi="Times New Roman"/>
                <w:sz w:val="24"/>
                <w:szCs w:val="24"/>
              </w:rPr>
              <w:tab/>
              <w:t>Постановление Правительства РФ от 29.01.2020 N 61</w:t>
            </w:r>
          </w:p>
          <w:p w:rsidR="001236CD" w:rsidRPr="001236CD" w:rsidRDefault="001236CD" w:rsidP="001236CD">
            <w:pPr>
              <w:autoSpaceDE w:val="0"/>
              <w:autoSpaceDN w:val="0"/>
              <w:adjustRightInd w:val="0"/>
              <w:ind w:left="-108"/>
              <w:jc w:val="both"/>
              <w:rPr>
                <w:rFonts w:ascii="Times New Roman" w:hAnsi="Times New Roman"/>
                <w:sz w:val="24"/>
                <w:szCs w:val="24"/>
              </w:rPr>
            </w:pPr>
            <w:r w:rsidRPr="001236CD">
              <w:rPr>
                <w:rFonts w:ascii="Times New Roman" w:hAnsi="Times New Roman"/>
                <w:sz w:val="24"/>
                <w:szCs w:val="24"/>
              </w:rPr>
              <w:tab/>
              <w:t>"Об утверждении коэффициента индексации выплат, пособий и компенсаций в 2020 году"</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left="-108"/>
              <w:jc w:val="both"/>
              <w:rPr>
                <w:rFonts w:ascii="Times New Roman" w:hAnsi="Times New Roman"/>
                <w:bCs/>
              </w:rPr>
            </w:pPr>
            <w:r w:rsidRPr="001236CD">
              <w:rPr>
                <w:rFonts w:ascii="Times New Roman" w:hAnsi="Times New Roman"/>
                <w:bCs/>
              </w:rPr>
              <w:t>С 1 февраля 2020 года на 3 процента проиндексируют размеры выплат, пособий и компенсаций</w:t>
            </w:r>
          </w:p>
          <w:p w:rsidR="001236CD" w:rsidRPr="001236CD" w:rsidRDefault="001236CD" w:rsidP="001236CD">
            <w:pPr>
              <w:autoSpaceDE w:val="0"/>
              <w:autoSpaceDN w:val="0"/>
              <w:adjustRightInd w:val="0"/>
              <w:ind w:left="-108"/>
              <w:jc w:val="both"/>
              <w:rPr>
                <w:rFonts w:ascii="Times New Roman" w:hAnsi="Times New Roman"/>
                <w:bCs/>
              </w:rPr>
            </w:pPr>
            <w:r w:rsidRPr="001236CD">
              <w:rPr>
                <w:rFonts w:ascii="Times New Roman" w:hAnsi="Times New Roman"/>
                <w:bCs/>
              </w:rPr>
              <w:t>Согласно Постановлению индексации подлежат выплаты, пособия и компенсации, предусмотренные некоторыми законодательными актами, в том числе: Законом РФ "О социальной защите граждан, подвергшихся воздействию радиации..."; Законом РФ "О статусе Героев Советского Союза, Героев Российской Федерации...", Федеральными законами "О ветеранах", "О социальной защите инвалидов в Российской Федерации", "О погребении и похоронном деле", "Об обязательном социальном страховании от несчастных случаев...".</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left="-108" w:right="-108"/>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30.01.2020</w:t>
            </w: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left="-108"/>
              <w:jc w:val="both"/>
              <w:rPr>
                <w:rFonts w:ascii="Times New Roman" w:hAnsi="Times New Roman"/>
                <w:sz w:val="24"/>
                <w:szCs w:val="24"/>
              </w:rPr>
            </w:pPr>
            <w:r w:rsidRPr="001236CD">
              <w:rPr>
                <w:rFonts w:ascii="Times New Roman" w:hAnsi="Times New Roman"/>
                <w:sz w:val="24"/>
                <w:szCs w:val="24"/>
              </w:rPr>
              <w:tab/>
              <w:t>Постановление Правительства РФ от 13.01.2020 N 7</w:t>
            </w:r>
          </w:p>
          <w:p w:rsidR="001236CD" w:rsidRPr="001236CD" w:rsidRDefault="001236CD" w:rsidP="001236CD">
            <w:pPr>
              <w:autoSpaceDE w:val="0"/>
              <w:autoSpaceDN w:val="0"/>
              <w:adjustRightInd w:val="0"/>
              <w:ind w:left="-108"/>
              <w:jc w:val="both"/>
              <w:rPr>
                <w:rFonts w:ascii="Times New Roman" w:hAnsi="Times New Roman"/>
                <w:sz w:val="24"/>
                <w:szCs w:val="24"/>
              </w:rPr>
            </w:pPr>
            <w:r w:rsidRPr="001236CD">
              <w:rPr>
                <w:rFonts w:ascii="Times New Roman" w:hAnsi="Times New Roman"/>
                <w:sz w:val="24"/>
                <w:szCs w:val="24"/>
              </w:rPr>
              <w:tab/>
              <w:t>"О признании утратившими силу некоторых актов РСФСР и Российской Федерации и их отдельных положений"</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left="-108"/>
              <w:jc w:val="both"/>
              <w:rPr>
                <w:rFonts w:ascii="Times New Roman" w:hAnsi="Times New Roman"/>
                <w:bCs/>
              </w:rPr>
            </w:pPr>
            <w:r w:rsidRPr="001236CD">
              <w:rPr>
                <w:rFonts w:ascii="Times New Roman" w:hAnsi="Times New Roman"/>
                <w:bCs/>
              </w:rPr>
              <w:t>С 1 февраля 2020 года утратят силу акты РСФСР и РФ, содержащие устаревшее регулирование</w:t>
            </w:r>
          </w:p>
          <w:p w:rsidR="001236CD" w:rsidRPr="001236CD" w:rsidRDefault="001236CD" w:rsidP="001236CD">
            <w:pPr>
              <w:autoSpaceDE w:val="0"/>
              <w:autoSpaceDN w:val="0"/>
              <w:adjustRightInd w:val="0"/>
              <w:ind w:left="-108"/>
              <w:jc w:val="both"/>
              <w:rPr>
                <w:rFonts w:ascii="Times New Roman" w:hAnsi="Times New Roman"/>
                <w:bCs/>
              </w:rPr>
            </w:pPr>
            <w:r w:rsidRPr="001236CD">
              <w:rPr>
                <w:rFonts w:ascii="Times New Roman" w:hAnsi="Times New Roman"/>
                <w:bCs/>
              </w:rPr>
              <w:t>Признаны утратившими силу 1259 актов (их отдельных положений), принятых с 1917 по 2002 год, содержащих устаревшее регулирование или имеющих статус "действующие", но не применяющихся на практике, в сфере жилищно-коммунального хозяйства, социального обеспечения, образования, экологии, хозяйственных, земельных правоотношений, здравоохранения и др.</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left="-108" w:right="-108"/>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14.01.2020</w:t>
            </w: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left="-108"/>
              <w:jc w:val="both"/>
              <w:rPr>
                <w:rFonts w:ascii="Times New Roman" w:hAnsi="Times New Roman"/>
                <w:sz w:val="24"/>
                <w:szCs w:val="24"/>
              </w:rPr>
            </w:pPr>
            <w:r w:rsidRPr="001236CD">
              <w:rPr>
                <w:rFonts w:ascii="Times New Roman" w:hAnsi="Times New Roman"/>
                <w:sz w:val="24"/>
                <w:szCs w:val="24"/>
              </w:rPr>
              <w:tab/>
              <w:t>Постановление Правительства РФ от 15.01.2020 N 13</w:t>
            </w:r>
          </w:p>
          <w:p w:rsidR="001236CD" w:rsidRPr="001236CD" w:rsidRDefault="001236CD" w:rsidP="001236CD">
            <w:pPr>
              <w:autoSpaceDE w:val="0"/>
              <w:autoSpaceDN w:val="0"/>
              <w:adjustRightInd w:val="0"/>
              <w:ind w:left="-108"/>
              <w:jc w:val="both"/>
              <w:rPr>
                <w:rFonts w:ascii="Times New Roman" w:hAnsi="Times New Roman"/>
                <w:sz w:val="24"/>
                <w:szCs w:val="24"/>
              </w:rPr>
            </w:pPr>
            <w:r w:rsidRPr="001236CD">
              <w:rPr>
                <w:rFonts w:ascii="Times New Roman" w:hAnsi="Times New Roman"/>
                <w:sz w:val="24"/>
                <w:szCs w:val="24"/>
              </w:rPr>
              <w:lastRenderedPageBreak/>
              <w:tab/>
              <w:t>"Об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left="-108"/>
              <w:jc w:val="both"/>
              <w:rPr>
                <w:rFonts w:ascii="Times New Roman" w:hAnsi="Times New Roman"/>
                <w:bCs/>
              </w:rPr>
            </w:pPr>
            <w:r w:rsidRPr="001236CD">
              <w:rPr>
                <w:rFonts w:ascii="Times New Roman" w:hAnsi="Times New Roman"/>
                <w:bCs/>
              </w:rPr>
              <w:lastRenderedPageBreak/>
              <w:t>Установлен порядок ведения Росводресурсами реестра недобросовестных водопользователей</w:t>
            </w:r>
          </w:p>
          <w:p w:rsidR="001236CD" w:rsidRPr="001236CD" w:rsidRDefault="001236CD" w:rsidP="001236CD">
            <w:pPr>
              <w:autoSpaceDE w:val="0"/>
              <w:autoSpaceDN w:val="0"/>
              <w:adjustRightInd w:val="0"/>
              <w:ind w:left="-108"/>
              <w:jc w:val="both"/>
              <w:rPr>
                <w:rFonts w:ascii="Times New Roman" w:hAnsi="Times New Roman"/>
                <w:bCs/>
              </w:rPr>
            </w:pPr>
            <w:r w:rsidRPr="001236CD">
              <w:rPr>
                <w:rFonts w:ascii="Times New Roman" w:hAnsi="Times New Roman"/>
                <w:bCs/>
              </w:rPr>
              <w:t xml:space="preserve">В реестр будет включаться информация о водопользователях, права пользования водными объектами которых были принудительно прекращены вследствие </w:t>
            </w:r>
            <w:r w:rsidRPr="001236CD">
              <w:rPr>
                <w:rFonts w:ascii="Times New Roman" w:hAnsi="Times New Roman"/>
                <w:bCs/>
              </w:rPr>
              <w:lastRenderedPageBreak/>
              <w:t>нецелевого использования водного объекта или в связи с использованием водного объекта с нарушением законодательства РФ, а также о победителях аукциона на право заключения договора водопользования, уклонившихся от его заключения.</w:t>
            </w:r>
          </w:p>
          <w:p w:rsidR="001236CD" w:rsidRPr="001236CD" w:rsidRDefault="001236CD" w:rsidP="001236CD">
            <w:pPr>
              <w:autoSpaceDE w:val="0"/>
              <w:autoSpaceDN w:val="0"/>
              <w:adjustRightInd w:val="0"/>
              <w:ind w:left="-108"/>
              <w:jc w:val="both"/>
              <w:rPr>
                <w:rFonts w:ascii="Times New Roman" w:hAnsi="Times New Roman"/>
                <w:bCs/>
              </w:rPr>
            </w:pPr>
            <w:r w:rsidRPr="001236CD">
              <w:rPr>
                <w:rFonts w:ascii="Times New Roman" w:hAnsi="Times New Roman"/>
                <w:bCs/>
              </w:rPr>
              <w:t>Реестр ведется в электронном виде и размещается на официальном сайте Росводресурсов в сети "Интернет".</w:t>
            </w:r>
          </w:p>
          <w:p w:rsidR="001236CD" w:rsidRPr="001236CD" w:rsidRDefault="001236CD" w:rsidP="001236CD">
            <w:pPr>
              <w:autoSpaceDE w:val="0"/>
              <w:autoSpaceDN w:val="0"/>
              <w:adjustRightInd w:val="0"/>
              <w:ind w:left="-108"/>
              <w:jc w:val="both"/>
              <w:rPr>
                <w:rFonts w:ascii="Times New Roman" w:hAnsi="Times New Roman"/>
                <w:bCs/>
              </w:rPr>
            </w:pPr>
            <w:r w:rsidRPr="001236CD">
              <w:rPr>
                <w:rFonts w:ascii="Times New Roman" w:hAnsi="Times New Roman"/>
                <w:bCs/>
              </w:rPr>
              <w:t>Доступ к реестру предоставляется бесплатно.</w:t>
            </w:r>
          </w:p>
          <w:p w:rsidR="001236CD" w:rsidRPr="001236CD" w:rsidRDefault="001236CD" w:rsidP="001236CD">
            <w:pPr>
              <w:autoSpaceDE w:val="0"/>
              <w:autoSpaceDN w:val="0"/>
              <w:adjustRightInd w:val="0"/>
              <w:ind w:left="-108"/>
              <w:jc w:val="both"/>
              <w:rPr>
                <w:rFonts w:ascii="Times New Roman" w:hAnsi="Times New Roman"/>
                <w:bCs/>
              </w:rPr>
            </w:pPr>
            <w:r w:rsidRPr="001236CD">
              <w:rPr>
                <w:rFonts w:ascii="Times New Roman" w:hAnsi="Times New Roman"/>
                <w:bCs/>
              </w:rPr>
              <w:t>Водопользователь подлежит включению в реестр в течение 10 рабочих дней со дня поступления информации о наличии оснований для включения в реестр. Информация, содержащаяся в реестре, исключается из него по истечении 2 лет с даты включения или по решению суда.</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left="-108" w:right="-108"/>
              <w:rPr>
                <w:rFonts w:ascii="Times New Roman" w:hAnsi="Times New Roman"/>
                <w:bCs/>
                <w:sz w:val="24"/>
                <w:szCs w:val="24"/>
              </w:rPr>
            </w:pPr>
            <w:r w:rsidRPr="001236CD">
              <w:rPr>
                <w:rFonts w:ascii="Times New Roman" w:hAnsi="Times New Roman"/>
                <w:bCs/>
                <w:sz w:val="24"/>
                <w:szCs w:val="24"/>
              </w:rPr>
              <w:lastRenderedPageBreak/>
              <w:t xml:space="preserve">Официальный интернет-портал правовой информации </w:t>
            </w:r>
            <w:r w:rsidRPr="001236CD">
              <w:rPr>
                <w:rFonts w:ascii="Times New Roman" w:hAnsi="Times New Roman"/>
                <w:bCs/>
                <w:sz w:val="24"/>
                <w:szCs w:val="24"/>
              </w:rPr>
              <w:lastRenderedPageBreak/>
              <w:t>http://www.pravo.gov.ru, 16.01.2020</w:t>
            </w:r>
          </w:p>
          <w:p w:rsidR="001236CD" w:rsidRPr="001236CD" w:rsidRDefault="001236CD" w:rsidP="001236CD">
            <w:pPr>
              <w:autoSpaceDE w:val="0"/>
              <w:autoSpaceDN w:val="0"/>
              <w:adjustRightInd w:val="0"/>
              <w:ind w:left="-108" w:right="-108"/>
              <w:rPr>
                <w:rFonts w:ascii="Times New Roman" w:hAnsi="Times New Roman"/>
                <w:bCs/>
                <w:sz w:val="24"/>
                <w:szCs w:val="24"/>
              </w:rPr>
            </w:pPr>
            <w:r w:rsidRPr="001236CD">
              <w:rPr>
                <w:rFonts w:ascii="Times New Roman" w:hAnsi="Times New Roman"/>
                <w:bCs/>
                <w:sz w:val="24"/>
                <w:szCs w:val="24"/>
              </w:rPr>
              <w:t>Начало действия документа - 24.01.2020.</w:t>
            </w: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tabs>
                <w:tab w:val="left" w:pos="486"/>
                <w:tab w:val="left" w:pos="1105"/>
              </w:tabs>
              <w:autoSpaceDE w:val="0"/>
              <w:autoSpaceDN w:val="0"/>
              <w:adjustRightInd w:val="0"/>
              <w:rPr>
                <w:rFonts w:ascii="Times New Roman" w:hAnsi="Times New Roman"/>
                <w:sz w:val="24"/>
                <w:szCs w:val="24"/>
              </w:rPr>
            </w:pPr>
            <w:r w:rsidRPr="001236CD">
              <w:rPr>
                <w:rFonts w:ascii="Times New Roman" w:hAnsi="Times New Roman"/>
                <w:sz w:val="24"/>
                <w:szCs w:val="24"/>
              </w:rPr>
              <w:tab/>
              <w:t>Приказ Минспорта России от 27.12.2019 N 1134</w:t>
            </w:r>
          </w:p>
          <w:p w:rsidR="001236CD" w:rsidRPr="001236CD" w:rsidRDefault="001236CD" w:rsidP="001236CD">
            <w:pPr>
              <w:tabs>
                <w:tab w:val="left" w:pos="486"/>
                <w:tab w:val="left" w:pos="1105"/>
              </w:tabs>
              <w:autoSpaceDE w:val="0"/>
              <w:autoSpaceDN w:val="0"/>
              <w:adjustRightInd w:val="0"/>
              <w:rPr>
                <w:rFonts w:ascii="Times New Roman" w:hAnsi="Times New Roman"/>
                <w:sz w:val="24"/>
                <w:szCs w:val="24"/>
              </w:rPr>
            </w:pPr>
            <w:r w:rsidRPr="001236CD">
              <w:rPr>
                <w:rFonts w:ascii="Times New Roman" w:hAnsi="Times New Roman"/>
                <w:sz w:val="24"/>
                <w:szCs w:val="24"/>
              </w:rPr>
              <w:tab/>
              <w:t xml:space="preserve">"Об утверждении перечня спортивно-технологического оборудования для совершенствования спортивной подготовки по хоккею, перечня спортивно-технологического оборудования для создания малых спортивных площадок, перечня спортивно-технологического оборудования для создания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перечня спортивно-технологического оборудования для создания или модернизации </w:t>
            </w:r>
            <w:r w:rsidRPr="001236CD">
              <w:rPr>
                <w:rFonts w:ascii="Times New Roman" w:hAnsi="Times New Roman"/>
                <w:sz w:val="24"/>
                <w:szCs w:val="24"/>
              </w:rPr>
              <w:lastRenderedPageBreak/>
              <w:t>футбольных полей с искусственным покрытием"</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Утверждены перечни спортоборудования, которое может приобретаться с использованием средств субсидий из федерального бюджета</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Оборудование, приведенное в перечнях, может приобретаться с использованием субсидий из федерального бюджета, направленных на софинансирование госпрограмм субъектов РФ в части приобретения спортивного оборудования и инвентаря для приведения организаций спортивной подготовки в нормативное состояние, и на софинансирование программ субъектов РФ в части оснащения объектов спортивной инфраструктуры спортивно-технологическим оборудованием, предусмотренных государственной программой РФ "Развитие физической культуры и спорта", утв. Постановлением Правительства РФ от 15.04.2014 N 302.</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29.01.2020</w:t>
            </w:r>
          </w:p>
        </w:tc>
      </w:tr>
      <w:tr w:rsidR="001236CD" w:rsidRPr="001236CD" w:rsidTr="001236CD">
        <w:trPr>
          <w:trHeight w:val="6369"/>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tabs>
                <w:tab w:val="left" w:pos="486"/>
                <w:tab w:val="left" w:pos="1105"/>
              </w:tabs>
              <w:autoSpaceDE w:val="0"/>
              <w:autoSpaceDN w:val="0"/>
              <w:adjustRightInd w:val="0"/>
              <w:rPr>
                <w:rFonts w:ascii="Times New Roman" w:hAnsi="Times New Roman"/>
                <w:sz w:val="24"/>
                <w:szCs w:val="24"/>
              </w:rPr>
            </w:pPr>
            <w:r w:rsidRPr="001236CD">
              <w:rPr>
                <w:rFonts w:ascii="Times New Roman" w:hAnsi="Times New Roman"/>
                <w:sz w:val="24"/>
                <w:szCs w:val="24"/>
              </w:rPr>
              <w:tab/>
              <w:t>Приказ Минюста России от 27.12.2019 N 330</w:t>
            </w:r>
          </w:p>
          <w:p w:rsidR="001236CD" w:rsidRPr="001236CD" w:rsidRDefault="001236CD" w:rsidP="001236CD">
            <w:pPr>
              <w:tabs>
                <w:tab w:val="left" w:pos="486"/>
                <w:tab w:val="left" w:pos="1105"/>
              </w:tabs>
              <w:autoSpaceDE w:val="0"/>
              <w:autoSpaceDN w:val="0"/>
              <w:adjustRightInd w:val="0"/>
              <w:rPr>
                <w:rFonts w:ascii="Times New Roman" w:hAnsi="Times New Roman"/>
                <w:sz w:val="24"/>
                <w:szCs w:val="24"/>
              </w:rPr>
            </w:pPr>
            <w:r w:rsidRPr="001236CD">
              <w:rPr>
                <w:rFonts w:ascii="Times New Roman" w:hAnsi="Times New Roman"/>
                <w:sz w:val="24"/>
                <w:szCs w:val="24"/>
              </w:rPr>
              <w:tab/>
              <w:t>"Об утверждении Порядка расчета суммы денежных средств на счете, на которую может быть обращено взыскание или наложен арест, с учетом требований, предусмотренных статьями 99 и 101 Федерального закона от 02.10.2007 N 229-ФЗ "Об исполнительном производстве"</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С 1 июня 2020 года вводится порядок определения суммы денежных средств на банковском счете физлица, на которую может быть обращено взыскание или наложен арест</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С указанной даты вступают в силу изменения в Федеральный закон "Об исполнительном производстве".</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Предусмотрено, в частности, что в случае если должник является получателем денежных средств, в отношении которых установлены ограничения и (или) на которые не может быть обращено взыскание (наложен арест), банк или иная кредитная организация осуществляет расчет соответствующей суммы денежных средств с учетом установленных требований.</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Во исполнение данных положений утвержден настоящий порядок, предусматривающий, в частности, что:</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расчет суммы денежных средств осуществляется в соответствии с кодами вида доходов (согласно закону лица, выплачивающие доходы, в отношении которых установлены ограничения или запрет на взыскание, обязаны указывать в расчетных документах соответствующий код вида дохода);</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при наличии нескольких счетов расчет суммы осуществляется отдельно по каждому счету;</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 случае наличия у должника совместного счета расчет суммы осуществляется отдельно по каждому лицу.</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Определен общий порядок расчета суммы денежных средств на счете, на которую может быть обращено взыскание (наложен арест), а также установлены особенности расчета в случае наличия в исполнительном документе требований по алиментным обязательствам в отношении несовершеннолетних детей, а также по обязательствам о возмещении вреда в связи со смертью кормильца.</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tabs>
                <w:tab w:val="left" w:pos="486"/>
                <w:tab w:val="left" w:pos="1105"/>
              </w:tabs>
              <w:autoSpaceDE w:val="0"/>
              <w:autoSpaceDN w:val="0"/>
              <w:adjustRightInd w:val="0"/>
              <w:rPr>
                <w:rFonts w:ascii="Times New Roman" w:hAnsi="Times New Roman"/>
                <w:sz w:val="24"/>
                <w:szCs w:val="24"/>
              </w:rPr>
            </w:pPr>
            <w:r w:rsidRPr="001236CD">
              <w:rPr>
                <w:rFonts w:ascii="Times New Roman" w:hAnsi="Times New Roman"/>
                <w:sz w:val="24"/>
                <w:szCs w:val="24"/>
              </w:rPr>
              <w:tab/>
              <w:t>Приказ Минкультуры России от 10.12.2019 N 1923</w:t>
            </w:r>
          </w:p>
          <w:p w:rsidR="001236CD" w:rsidRPr="001236CD" w:rsidRDefault="001236CD" w:rsidP="001236CD">
            <w:pPr>
              <w:tabs>
                <w:tab w:val="left" w:pos="486"/>
                <w:tab w:val="left" w:pos="1105"/>
              </w:tabs>
              <w:autoSpaceDE w:val="0"/>
              <w:autoSpaceDN w:val="0"/>
              <w:adjustRightInd w:val="0"/>
              <w:rPr>
                <w:rFonts w:ascii="Times New Roman" w:hAnsi="Times New Roman"/>
                <w:sz w:val="24"/>
                <w:szCs w:val="24"/>
              </w:rPr>
            </w:pPr>
            <w:r w:rsidRPr="001236CD">
              <w:rPr>
                <w:rFonts w:ascii="Times New Roman" w:hAnsi="Times New Roman"/>
                <w:sz w:val="24"/>
                <w:szCs w:val="24"/>
              </w:rPr>
              <w:tab/>
              <w:t xml:space="preserve">"Об утверждении перечня документов, удостоверяющих личность (в том числе документов, удостоверяющих личность иностранных граждан или лиц без гражданства в Российской Федерации) и позволяющих установить возраст лица, желающего </w:t>
            </w:r>
            <w:r w:rsidRPr="001236CD">
              <w:rPr>
                <w:rFonts w:ascii="Times New Roman" w:hAnsi="Times New Roman"/>
                <w:sz w:val="24"/>
                <w:szCs w:val="24"/>
              </w:rPr>
              <w:lastRenderedPageBreak/>
              <w:t>приобрести входной билет, получить приглашение или иной документ, предоставляющий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либо пройти на такое зрелищное мероприятие, а также возраст лица, желающего приобрести, взять в прокат или аренду информационную продукцию, содержащую информацию, запрещенную для распространения среди детей"</w:t>
            </w:r>
          </w:p>
          <w:p w:rsidR="001236CD" w:rsidRPr="001236CD" w:rsidRDefault="001236CD" w:rsidP="001236CD">
            <w:pPr>
              <w:tabs>
                <w:tab w:val="left" w:pos="486"/>
                <w:tab w:val="left" w:pos="1105"/>
              </w:tabs>
              <w:autoSpaceDE w:val="0"/>
              <w:autoSpaceDN w:val="0"/>
              <w:adjustRightInd w:val="0"/>
              <w:rPr>
                <w:rFonts w:ascii="Times New Roman" w:hAnsi="Times New Roman"/>
                <w:sz w:val="24"/>
                <w:szCs w:val="24"/>
              </w:rPr>
            </w:pPr>
            <w:r w:rsidRPr="001236CD">
              <w:rPr>
                <w:rFonts w:ascii="Times New Roman" w:hAnsi="Times New Roman"/>
                <w:sz w:val="24"/>
                <w:szCs w:val="24"/>
              </w:rPr>
              <w:tab/>
              <w:t>Зарегистрировано в Минюсте России 21.01.2020 N 57207.</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Определен перечень документов, подтверждающих возраст лица, намеревающегося приобрести информационную продукцию, запрещенную для распространения среди детей</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 перечень включено 13 документов, в том числе:</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паспорт гражданина РФ (в т.ч. заграничный);</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временное удостоверение личности;</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удостоверение личности военнослужащего или военный билет;</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паспорт иностранного гражданина;</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вид на жительство лица без гражданства в РФ;</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удостоверение беженца;</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водительское удостоверение и другие документы.</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21.01.2020</w:t>
            </w: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tabs>
                <w:tab w:val="left" w:pos="486"/>
                <w:tab w:val="left" w:pos="1105"/>
              </w:tabs>
              <w:autoSpaceDE w:val="0"/>
              <w:autoSpaceDN w:val="0"/>
              <w:adjustRightInd w:val="0"/>
              <w:rPr>
                <w:rFonts w:ascii="Times New Roman" w:hAnsi="Times New Roman"/>
                <w:sz w:val="24"/>
                <w:szCs w:val="24"/>
              </w:rPr>
            </w:pPr>
            <w:r w:rsidRPr="001236CD">
              <w:rPr>
                <w:rFonts w:ascii="Times New Roman" w:hAnsi="Times New Roman"/>
                <w:sz w:val="24"/>
                <w:szCs w:val="24"/>
              </w:rPr>
              <w:tab/>
              <w:t>Приказ Минэкономразвития России от 25.12.2019 N 839</w:t>
            </w:r>
          </w:p>
          <w:p w:rsidR="001236CD" w:rsidRPr="001236CD" w:rsidRDefault="001236CD" w:rsidP="001236CD">
            <w:pPr>
              <w:tabs>
                <w:tab w:val="left" w:pos="486"/>
                <w:tab w:val="left" w:pos="1105"/>
              </w:tabs>
              <w:autoSpaceDE w:val="0"/>
              <w:autoSpaceDN w:val="0"/>
              <w:adjustRightInd w:val="0"/>
              <w:rPr>
                <w:rFonts w:ascii="Times New Roman" w:hAnsi="Times New Roman"/>
                <w:sz w:val="24"/>
                <w:szCs w:val="24"/>
              </w:rPr>
            </w:pPr>
            <w:r w:rsidRPr="001236CD">
              <w:rPr>
                <w:rFonts w:ascii="Times New Roman" w:hAnsi="Times New Roman"/>
                <w:sz w:val="24"/>
                <w:szCs w:val="24"/>
              </w:rPr>
              <w:tab/>
              <w:t xml:space="preserve">"О внесении изменений в приложения N 1, 2 к приказу Минэкономразвития России от 10 мая 2016 г. N 291 "Об установлении размеров платы за </w:t>
            </w:r>
            <w:r w:rsidRPr="001236CD">
              <w:rPr>
                <w:rFonts w:ascii="Times New Roman" w:hAnsi="Times New Roman"/>
                <w:sz w:val="24"/>
                <w:szCs w:val="24"/>
              </w:rPr>
              <w:lastRenderedPageBreak/>
              <w:t>предоставление сведений, содержащихся в Едином государственном реестре недвижимости"</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Минэкономразвития России увеличил размер платы за предоставление выписок из ЕГРН</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Так, в частности, за выписку из ЕГРН об основных характеристиках и зарегистрированных правах на объект недвижимости физическим лицам будет необходимо заплатить 460 рублей (за выписку на бумажном носителе) или 290 рублей (за выписку в электронном виде). Юрлицам за ту же выписку придется заплатить 1270 рублей (за бумажный документ) и 820 (за электронный).</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 xml:space="preserve">Также возрастает размер платы за получение доступа к федеральной информационной системе ведения ЕГРН. Так, за просмотр сведений, содержащихся в ЕГРН, без формирования электронного документа, по минимальному тарифу </w:t>
            </w:r>
            <w:r w:rsidRPr="001236CD">
              <w:rPr>
                <w:rFonts w:ascii="Times New Roman" w:hAnsi="Times New Roman"/>
                <w:bCs/>
              </w:rPr>
              <w:lastRenderedPageBreak/>
              <w:t>придется заплатить 370 рублей физическим лицам и госорганам и 730 рублей - юридическим лицам.</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Официальный интернет-портал правовой информации http://www.pravo.gov.ru, 30.12.2019</w:t>
            </w: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8.</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tabs>
                <w:tab w:val="left" w:pos="486"/>
                <w:tab w:val="left" w:pos="1105"/>
              </w:tabs>
              <w:autoSpaceDE w:val="0"/>
              <w:autoSpaceDN w:val="0"/>
              <w:adjustRightInd w:val="0"/>
              <w:rPr>
                <w:rFonts w:ascii="Times New Roman" w:hAnsi="Times New Roman"/>
                <w:sz w:val="24"/>
                <w:szCs w:val="24"/>
              </w:rPr>
            </w:pPr>
            <w:r w:rsidRPr="001236CD">
              <w:rPr>
                <w:rFonts w:ascii="Times New Roman" w:hAnsi="Times New Roman"/>
                <w:sz w:val="24"/>
                <w:szCs w:val="24"/>
              </w:rPr>
              <w:tab/>
              <w:t>Приказ ФАС России от 08.11.2019 N 1483/19</w:t>
            </w:r>
          </w:p>
          <w:p w:rsidR="001236CD" w:rsidRPr="001236CD" w:rsidRDefault="001236CD" w:rsidP="001236CD">
            <w:pPr>
              <w:tabs>
                <w:tab w:val="left" w:pos="486"/>
                <w:tab w:val="left" w:pos="1105"/>
              </w:tabs>
              <w:autoSpaceDE w:val="0"/>
              <w:autoSpaceDN w:val="0"/>
              <w:adjustRightInd w:val="0"/>
              <w:rPr>
                <w:rFonts w:ascii="Times New Roman" w:hAnsi="Times New Roman"/>
                <w:sz w:val="24"/>
                <w:szCs w:val="24"/>
              </w:rPr>
            </w:pPr>
            <w:r w:rsidRPr="001236CD">
              <w:rPr>
                <w:rFonts w:ascii="Times New Roman" w:hAnsi="Times New Roman"/>
                <w:sz w:val="24"/>
                <w:szCs w:val="24"/>
              </w:rPr>
              <w:tab/>
              <w:t>"Об утверждении порядка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на уровне выше максимального или ниже минимального уровня, установленного федеральным органом исполнительной власти в области регулирования тарифов"</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Определен новый порядок согласования ФАС России решений органов власти субъектов РФ об установлении тарифов на электроэнергию выше максимальных или ниже минимальных разрешенных федеральным органом</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Федеральным законом от 02.08.2019 N 300-ФЗ "О внесении изменений в Федеральный закон "Об электроэнергетике" органам исполнительной власти субъектов РФ было запрещено самостоятельно принимать решения об установлении тарифов в электроэнергетике выше максимальных или ниже минимальных установленных на федеральном уровне без согласования с ФАС России, в том числе и в случае если такое отклонение обусловлено размером инвестиционных программ субъектов электроэнергетики.</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 связи с изложенным, ФАС России утвержден новый порядок согласования указанных решений субъектов РФ.</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 нем, в частности, расширяется перечень документов, направляемых в ФАС России. В него включается письмо высшего должностного лица субъекта РФ, обосновывающее необходимость установления тарифов выше или ниже предельного уровня, экспертные заключения об обоснованности предлагаемых тарифов, ежегодные отчеты о проведении систематического наблюдения и анализа использования инвестиционных ресурсов, включаемых в регулируемые государством цены (тарифы) в сфере электроэнергетики, акты внеплановых проверок реализации инвестиционных программ субъектов электроэнергетики, проведенных уполномоченным органом исполнительной власти субъекта РФ, и иные документы.</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Утратившим силу признается Приказ ФСТ России от 07.12.2004 N 236-э с внесенными в него изменениями, которым установлен ранее действовавший порядок согласования указанных решений органов власти субъектов РФ.</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31.12.2019</w:t>
            </w: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tabs>
                <w:tab w:val="left" w:pos="486"/>
                <w:tab w:val="left" w:pos="1105"/>
              </w:tabs>
              <w:autoSpaceDE w:val="0"/>
              <w:autoSpaceDN w:val="0"/>
              <w:adjustRightInd w:val="0"/>
              <w:rPr>
                <w:rFonts w:ascii="Times New Roman" w:hAnsi="Times New Roman"/>
                <w:sz w:val="24"/>
                <w:szCs w:val="24"/>
              </w:rPr>
            </w:pPr>
            <w:r w:rsidRPr="001236CD">
              <w:rPr>
                <w:rFonts w:ascii="Times New Roman" w:hAnsi="Times New Roman"/>
                <w:sz w:val="24"/>
                <w:szCs w:val="24"/>
              </w:rPr>
              <w:tab/>
              <w:t>Распоряжение МЧС России от 20.12.2019 N 758</w:t>
            </w:r>
          </w:p>
          <w:p w:rsidR="001236CD" w:rsidRPr="001236CD" w:rsidRDefault="001236CD" w:rsidP="001236CD">
            <w:pPr>
              <w:tabs>
                <w:tab w:val="left" w:pos="486"/>
                <w:tab w:val="left" w:pos="1105"/>
              </w:tabs>
              <w:autoSpaceDE w:val="0"/>
              <w:autoSpaceDN w:val="0"/>
              <w:adjustRightInd w:val="0"/>
              <w:rPr>
                <w:rFonts w:ascii="Times New Roman" w:hAnsi="Times New Roman"/>
                <w:sz w:val="24"/>
                <w:szCs w:val="24"/>
              </w:rPr>
            </w:pPr>
            <w:r w:rsidRPr="001236CD">
              <w:rPr>
                <w:rFonts w:ascii="Times New Roman" w:hAnsi="Times New Roman"/>
                <w:sz w:val="24"/>
                <w:szCs w:val="24"/>
              </w:rPr>
              <w:tab/>
              <w:t xml:space="preserve">"Об утверждении Программы профилактики нарушений обязательных требований в области гражданской обороны при осуществлении государственного надзора в </w:t>
            </w:r>
            <w:r w:rsidRPr="001236CD">
              <w:rPr>
                <w:rFonts w:ascii="Times New Roman" w:hAnsi="Times New Roman"/>
                <w:sz w:val="24"/>
                <w:szCs w:val="24"/>
              </w:rPr>
              <w:lastRenderedPageBreak/>
              <w:t>области гражданской обороны на 2020 год"</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Утвержден план-график мероприятий по профилактике нарушений обязательных требований в области гражданской обороны на 2020 год</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Одним из основных мероприятий по профилактике нарушений обязательных требований является информирование юридических лиц и индивидуальных предпринимателей по вопросам соблюдения обязательных требований. Уровень информированности юридических лиц и индивидуальных предпринимателей является одним из основных показателей деятельности органа надзора. Величина уровня информированности определяется охватом мероприятиями по профилактике нарушений обязательных требований подконтрольных субъектов и зависит от интенсивности проведения профилактических мероприятий.</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Эффективная реализация мероприятий по профилактике нарушений обязательных требований должна мотивировать подконтрольных объектов надзора на выполнение установленных требований в области гражданской обороны, а также на выполнение мероприятий, предложенных предписаниями надзорных органов. Для этого вводится показатель, характеризующий степень устранения выявленных нарушений.</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 2020 год МЧС России посредством проведения профилактических мероприятий планирует достичь информированности населения РФ в области комплексной безопасности жизнедеятельности на уровне не менее 50%, а также на 3% (по отношению к 2019 году) увеличить количество выполненных мероприятий, предложенных предписаниями.</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10.</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&lt;Письмо&gt; Минстроя России от 10.12.2019 N 47256-ОЛ/06</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&lt;О плате за жилое помещение и коммунальные услуги&gt;</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Разъяснены особенности установления платы за коммунальные ресурсы на содержание общего имущества в многоквартирном доме</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Согласно части 2 статьи 154 ЖК РФ плата за жилое помещение и коммунальные услуги для собственника помещения в многоквартирном доме включает в себя в том числе плату за работы по управлению многоквартирным домом, за содержание и текущий ремонт общего имущества в многоквартирном доме, за потребляемые коммунальные ресурсы.</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При начислении платы за жилое помещение и коммунальные услуги плата за коммунальные ресурсы, потребляемые при использовании и содержании общего имущества в многоквартирном доме, и плата за содержание и ремонт общего имущества начисляются отдельно.</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После установления нормативов потребления коммунальных ресурсов в целях содержания общего имущества в многоквартирном доме для последующего включения в размер платы за содержание жилого помещения расходов на коммунальные ресурсы не требуется принятия общим собранием собственников помещений в многоквартирном доме соответствующего решения, поскольку размер платы определяется без учета платы за коммунальные ресурсы, потребляемые при использовании и содержании общего имущества в многоквартирном доме.</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&lt;Письмо&gt; ФНС России от 14.01.2020 N БС-4-21/340@</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"О применении п. 7 ст. 378.2 Налогового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 перечень объектов недвижимости, облагаемых налогом по кадастровой стоимости, могут вноситься изменения</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Уполномоченный орган исполнительной власти субъекта РФ определяет перечень объектов недвижимости, в отношении которых налоговая база по налогу на имущество определяется как кадастровая стоимость.</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Запрета на внесение в нормативный правовой акт, которым утвержден такой перечень, НК РФ не установлено.</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Согласно разъяснению, в случае ошибочного включения объекта недвижимого имущества в перечень, уполномоченный орган вправе внести в него соответствующие изменения.</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При этом указано, что на основании статьи 5 НК РФ нормативные правовые акты уполномоченного органа, предусматривающие внесение изменений в перечень и ухудшающие положение налогоплательщиков, обратной силы не имеют.</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12.</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jc w:val="both"/>
              <w:rPr>
                <w:rFonts w:ascii="Times New Roman" w:hAnsi="Times New Roman"/>
                <w:sz w:val="24"/>
                <w:szCs w:val="24"/>
              </w:rPr>
            </w:pPr>
            <w:r w:rsidRPr="001236CD">
              <w:rPr>
                <w:rFonts w:ascii="Times New Roman" w:hAnsi="Times New Roman"/>
                <w:sz w:val="24"/>
                <w:szCs w:val="24"/>
              </w:rPr>
              <w:t>&lt;Письмо&gt; ФНС России от 20.01.2020 N ГД-4-14/615@</w:t>
            </w:r>
          </w:p>
          <w:p w:rsidR="001236CD" w:rsidRPr="001236CD" w:rsidRDefault="001236CD" w:rsidP="001236CD">
            <w:pPr>
              <w:autoSpaceDE w:val="0"/>
              <w:autoSpaceDN w:val="0"/>
              <w:adjustRightInd w:val="0"/>
              <w:ind w:right="-108"/>
              <w:jc w:val="both"/>
              <w:rPr>
                <w:rFonts w:ascii="Times New Roman" w:hAnsi="Times New Roman"/>
                <w:sz w:val="24"/>
                <w:szCs w:val="24"/>
              </w:rPr>
            </w:pPr>
            <w:r w:rsidRPr="001236CD">
              <w:rPr>
                <w:rFonts w:ascii="Times New Roman" w:hAnsi="Times New Roman"/>
                <w:sz w:val="24"/>
                <w:szCs w:val="24"/>
              </w:rPr>
              <w:t>&lt;О ведении Единого реестра субъектов малого и среднего предпринимательства&gt;</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ЮЛ и ИП могут быть исключены из Единого реестра субъектов МСП, если необходимые сведения не представлены в инспекцию до 1 июля</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Сведения вносятся в Единый реестр субъектов малого и среднего предпринимательства ежегодно 10 августа текущего календарного года на основе сведений, имеющихся у ФНС России по состоянию на 1 июля текущего календарного года.</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ФНС России напоминает, что непредставление сведений о среднесписочной численности работников за предшествующий календарный год и (или) налоговой отчетности, позволяющей определить величину дохода за предшествующий календарный год, является основанием для исключения 10 августа текущего календарного года содержащихся в реестре сведений о юрлицах и индивидуальных предпринимателях.</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jc w:val="both"/>
              <w:rPr>
                <w:rFonts w:ascii="Times New Roman" w:hAnsi="Times New Roman"/>
                <w:sz w:val="24"/>
                <w:szCs w:val="24"/>
              </w:rPr>
            </w:pPr>
            <w:r w:rsidRPr="001236CD">
              <w:rPr>
                <w:rFonts w:ascii="Times New Roman" w:hAnsi="Times New Roman"/>
                <w:sz w:val="24"/>
                <w:szCs w:val="24"/>
              </w:rPr>
              <w:t>&lt;Письмо&gt; Минпросвещения России от 14.01.2020 N МР-5/02</w:t>
            </w:r>
          </w:p>
          <w:p w:rsidR="001236CD" w:rsidRPr="001236CD" w:rsidRDefault="001236CD" w:rsidP="001236CD">
            <w:pPr>
              <w:autoSpaceDE w:val="0"/>
              <w:autoSpaceDN w:val="0"/>
              <w:adjustRightInd w:val="0"/>
              <w:ind w:right="-108"/>
              <w:jc w:val="both"/>
              <w:rPr>
                <w:rFonts w:ascii="Times New Roman" w:hAnsi="Times New Roman"/>
                <w:sz w:val="24"/>
                <w:szCs w:val="24"/>
              </w:rPr>
            </w:pPr>
            <w:r w:rsidRPr="001236CD">
              <w:rPr>
                <w:rFonts w:ascii="Times New Roman" w:hAnsi="Times New Roman"/>
                <w:sz w:val="24"/>
                <w:szCs w:val="24"/>
              </w:rPr>
              <w:t>"О направлении методических рекомендаций"</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Определен порядок внедрения в регионах целевой модели цифровой образовательной среды</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Целевая модель цифровой образовательной среды (ЦОС) утверждена Приказом Минпросвещения России от 02.12.2019 N 649.</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Внедрение ЦОС в регионе осуществляется по следующим направлениям:</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создание необходимых административно-управленческих и организационно-технических условий;</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развитие материально-технической базы и информационно-телекоммуникационной и технологической инфраструктуры в образовательных организациях;</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внедрение и использование федеральной информационно-сервисной платформы ЦОС;</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развитие информационных систем и ресурсов, созданных за счет региональных бюджетов в сфере образования, в том числе обеспечение их взаимодействия с информационными системами и ресурсами платформы ЦОС.</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jc w:val="both"/>
              <w:rPr>
                <w:rFonts w:ascii="Times New Roman" w:hAnsi="Times New Roman"/>
                <w:sz w:val="24"/>
                <w:szCs w:val="24"/>
              </w:rPr>
            </w:pPr>
            <w:r w:rsidRPr="001236CD">
              <w:rPr>
                <w:rFonts w:ascii="Times New Roman" w:hAnsi="Times New Roman"/>
                <w:sz w:val="24"/>
                <w:szCs w:val="24"/>
              </w:rPr>
              <w:t>&lt;Письмо&gt; МЧС России от 12.12.2019 N ИТ-11-71</w:t>
            </w:r>
          </w:p>
          <w:p w:rsidR="001236CD" w:rsidRPr="001236CD" w:rsidRDefault="001236CD" w:rsidP="001236CD">
            <w:pPr>
              <w:autoSpaceDE w:val="0"/>
              <w:autoSpaceDN w:val="0"/>
              <w:adjustRightInd w:val="0"/>
              <w:ind w:right="-108"/>
              <w:jc w:val="both"/>
              <w:rPr>
                <w:rFonts w:ascii="Times New Roman" w:hAnsi="Times New Roman"/>
                <w:sz w:val="24"/>
                <w:szCs w:val="24"/>
              </w:rPr>
            </w:pPr>
            <w:r w:rsidRPr="001236CD">
              <w:rPr>
                <w:rFonts w:ascii="Times New Roman" w:hAnsi="Times New Roman"/>
                <w:sz w:val="24"/>
                <w:szCs w:val="24"/>
              </w:rPr>
              <w:t>"О разъяснении Федерального закона"</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Разъяснены обязанности организаций по созданию нештатных аварийно-спасательных формирований</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Сообщается, что Федеральным законом от 01.05.2019 N 84-ФЗ "О внесении изменений в Федеральный закон "О гражданской обороне" из перечня организаций, создающих нештатные аварийно-спасательные формирования (НАСФ), исключены организации, эксплуатирующие опасные производственные объекты III класса опасности, отнесенные в установленном порядке к категориям по гражданской обороне.</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 xml:space="preserve">Организациям, отнесенным к категориям по гражданской обороне, не имеющим мобилизационного задания и не входящим в перечень организаций, осуществляющих выполнение мероприятий по гражданской обороне федерального органа исполнительной власти, регионального или местного уровней, вместо </w:t>
            </w:r>
            <w:r w:rsidRPr="001236CD">
              <w:rPr>
                <w:rFonts w:ascii="Times New Roman" w:hAnsi="Times New Roman"/>
                <w:bCs/>
              </w:rPr>
              <w:lastRenderedPageBreak/>
              <w:t>создания НАСФ необходимо привлекать для проведения аварийно-спасательных работ профессиональные аварийно-спасательные службы и формирования на договорной основе с учетом статьи 10 Федерального закона от 21.07.1997 N 116-ФЗ "О промышленной безопасности опасных производственных объектов".</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Также разъясняется, что создавать НАСФ необходимо в связи с тем, что при авариях, которые могут произойти на потенциально опасных объектах в военное время, организации должны быть готовы к проведению аварийно-спасательных работ своими силами, так как привлечение профессиональных аварийно-спасательных формирований федерального и регионального уровней именно в военное время будет затруднено ввиду вероятного возникновения многочисленных чрезвычайных ситуаций и больших объемов спасательных работ. Однако организациям, которые не будут продолжать работу в военное время, создавать НАСФ не требуется.</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15.</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left="-108" w:right="-108"/>
              <w:rPr>
                <w:rFonts w:ascii="Times New Roman" w:hAnsi="Times New Roman"/>
                <w:sz w:val="24"/>
                <w:szCs w:val="24"/>
              </w:rPr>
            </w:pPr>
            <w:r w:rsidRPr="001236CD">
              <w:rPr>
                <w:rFonts w:ascii="Times New Roman" w:hAnsi="Times New Roman"/>
                <w:sz w:val="24"/>
                <w:szCs w:val="24"/>
              </w:rPr>
              <w:tab/>
              <w:t>&lt;Информация&gt; ФНС России</w:t>
            </w:r>
          </w:p>
          <w:p w:rsidR="001236CD" w:rsidRPr="001236CD" w:rsidRDefault="001236CD" w:rsidP="001236CD">
            <w:pPr>
              <w:autoSpaceDE w:val="0"/>
              <w:autoSpaceDN w:val="0"/>
              <w:adjustRightInd w:val="0"/>
              <w:ind w:left="-108" w:right="-108"/>
              <w:rPr>
                <w:rFonts w:ascii="Times New Roman" w:hAnsi="Times New Roman"/>
                <w:sz w:val="24"/>
                <w:szCs w:val="24"/>
              </w:rPr>
            </w:pPr>
            <w:r w:rsidRPr="001236CD">
              <w:rPr>
                <w:rFonts w:ascii="Times New Roman" w:hAnsi="Times New Roman"/>
                <w:sz w:val="24"/>
                <w:szCs w:val="24"/>
              </w:rPr>
              <w:tab/>
              <w:t>"Получить налоговый вычет по расходам на покупку лекарств стало проще"</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Теперь социальный налоговый вычет можно получить за любое лекарство по рецепту врача</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Раньше для получения налогового вычета лекарство должно было входить в перечень, утвержденный Правительством РФ.</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Теперь вернуть НДФЛ можно при покупке любого лекарства, выписанного врачом (изменения применяются с налогового периода 2019 года).</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Социальный налоговый вычет ограничен расходами в сумме 120 000 рублей. Данный вычет предоставляется также по расходам на обучение, повышение квалификации, медицинские услуги и др.</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Отметим также, что максимальная сумма НДФЛ, которую можно вернуть в налоговом периоде, - это 13% от 120 000 рублей (то есть не более 15 600 рублей).</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ФНС России рассказала также о способах получения данного вычета (в налоговом органе или у работодателя).</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left="-108" w:right="-108"/>
              <w:rPr>
                <w:rFonts w:ascii="Times New Roman" w:hAnsi="Times New Roman"/>
                <w:sz w:val="24"/>
                <w:szCs w:val="24"/>
              </w:rPr>
            </w:pPr>
            <w:r w:rsidRPr="001236CD">
              <w:rPr>
                <w:rFonts w:ascii="Times New Roman" w:hAnsi="Times New Roman"/>
                <w:sz w:val="24"/>
                <w:szCs w:val="24"/>
              </w:rPr>
              <w:tab/>
              <w:t>&lt;Информация&gt; ФНС России</w:t>
            </w:r>
          </w:p>
          <w:p w:rsidR="001236CD" w:rsidRPr="001236CD" w:rsidRDefault="001236CD" w:rsidP="001236CD">
            <w:pPr>
              <w:autoSpaceDE w:val="0"/>
              <w:autoSpaceDN w:val="0"/>
              <w:adjustRightInd w:val="0"/>
              <w:ind w:left="-108" w:right="-108"/>
              <w:rPr>
                <w:rFonts w:ascii="Times New Roman" w:hAnsi="Times New Roman"/>
                <w:sz w:val="24"/>
                <w:szCs w:val="24"/>
              </w:rPr>
            </w:pPr>
            <w:r w:rsidRPr="001236CD">
              <w:rPr>
                <w:rFonts w:ascii="Times New Roman" w:hAnsi="Times New Roman"/>
                <w:sz w:val="24"/>
                <w:szCs w:val="24"/>
              </w:rPr>
              <w:tab/>
              <w:t>"С 2020 года меняются правила налогообложения имущества физлиц"</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С 2020 года действуют новые правила налогообложения имущества физлиц</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Сообщается, в частности, о следующем:</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на территории ряда субъектов РФ по налогу на имущество физлиц впервые будет применена кадастровая стоимость объектов налогообложения, а в регионах, где она использовалась ранее, будут применяться новые коэффициенты, ограничивающие рост налога;</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льготы по транспортному налогу будут применяться как на основании заявления налогоплательщика, так и по информации, полученной в рамках межведомственного взаимодействия;</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прекращает применяться льгота в отношении большегрузов, зарегистрированных в системе взимания платы "Платон";</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 xml:space="preserve">вводится налоговый вычет, уменьшающий земельный налог на кадастровую стоимость 600 кв. м по одному земельному участку для предпенсионеров, а также установлена льгота, освобождающая их от уплаты налога на имущество в </w:t>
            </w:r>
            <w:r w:rsidRPr="001236CD">
              <w:rPr>
                <w:rFonts w:ascii="Times New Roman" w:hAnsi="Times New Roman"/>
                <w:bCs/>
              </w:rPr>
              <w:lastRenderedPageBreak/>
              <w:t>отношении одного объекта определенного вида (жилого дома, квартиры, комнаты, гаража и т.п.), который не используется в предпринимательской деятельности.</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Текст документа приведен в соответствии с публикацией на сайте https://www.nalog.ru по состоянию на 09.01.2020.</w:t>
            </w: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17.</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left="-108" w:right="-108"/>
              <w:rPr>
                <w:rFonts w:ascii="Times New Roman" w:hAnsi="Times New Roman"/>
                <w:sz w:val="24"/>
                <w:szCs w:val="24"/>
              </w:rPr>
            </w:pPr>
            <w:r w:rsidRPr="001236CD">
              <w:rPr>
                <w:rFonts w:ascii="Times New Roman" w:hAnsi="Times New Roman"/>
                <w:sz w:val="24"/>
                <w:szCs w:val="24"/>
              </w:rPr>
              <w:tab/>
              <w:t>&lt;Информация&gt; ФНС России</w:t>
            </w:r>
          </w:p>
          <w:p w:rsidR="001236CD" w:rsidRPr="001236CD" w:rsidRDefault="001236CD" w:rsidP="001236CD">
            <w:pPr>
              <w:autoSpaceDE w:val="0"/>
              <w:autoSpaceDN w:val="0"/>
              <w:adjustRightInd w:val="0"/>
              <w:ind w:left="-108" w:right="-108"/>
              <w:rPr>
                <w:rFonts w:ascii="Times New Roman" w:hAnsi="Times New Roman"/>
                <w:sz w:val="24"/>
                <w:szCs w:val="24"/>
              </w:rPr>
            </w:pPr>
            <w:r w:rsidRPr="001236CD">
              <w:rPr>
                <w:rFonts w:ascii="Times New Roman" w:hAnsi="Times New Roman"/>
                <w:sz w:val="24"/>
                <w:szCs w:val="24"/>
              </w:rPr>
              <w:tab/>
              <w:t>"В России стартует Декларационная кампания 2020 года"</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До 30 апреля 2020 года гражданам необходимо отчитаться о доходах, полученных в 2019 году</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Представить налоговую декларацию необходимо, если в 2019 году налогоплательщиком был получен доход от продажи недвижимости, которая была в собственности меньше минимального срока владения, получены дорогие подарки не от близких родственников, выигрыш в лотерею, или если сдавалось имущество в аренду и т.д.</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Отчитаться о своих доходах должны также индивидуальные предприниматели, нотариусы, занимающиеся частной практикой, адвокаты, учредившие адвокатские кабинеты, и другие лица.</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Заполнить декларацию 3-НДФЛ онлайн можно с помощью сервиса "Личный кабинет налогоплательщика для физических лиц". Также с 2020 года у граждан появилась возможность направлять декларации на бумаге через МФЦ, оказывающие данные услуги.</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ФНС России разъяснила также, что при декларировании дохода от продажи недвижимости, которая была приобретена в общую долевую собственность родителей и детей на средства материнского капитала, расходы на приобретение являются расходами всех членов семьи в соответствующих долях. Поэтому они учитываются при расчете налоговой базы по НДФЛ пропорционально доле продаваемой недвижимости.</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Текст документа приведен в соответствии с публикацией на сайте https://www.nalog.ru по состоянию на 09.01.2020.</w:t>
            </w: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left="-108" w:right="-108"/>
              <w:rPr>
                <w:rFonts w:ascii="Times New Roman" w:hAnsi="Times New Roman"/>
                <w:sz w:val="24"/>
                <w:szCs w:val="24"/>
              </w:rPr>
            </w:pPr>
            <w:r w:rsidRPr="001236CD">
              <w:rPr>
                <w:rFonts w:ascii="Times New Roman" w:hAnsi="Times New Roman"/>
                <w:sz w:val="24"/>
                <w:szCs w:val="24"/>
              </w:rPr>
              <w:tab/>
              <w:t>&lt;Информация&gt; ФНС России</w:t>
            </w:r>
          </w:p>
          <w:p w:rsidR="001236CD" w:rsidRPr="001236CD" w:rsidRDefault="001236CD" w:rsidP="001236CD">
            <w:pPr>
              <w:autoSpaceDE w:val="0"/>
              <w:autoSpaceDN w:val="0"/>
              <w:adjustRightInd w:val="0"/>
              <w:ind w:left="-108" w:right="-108"/>
              <w:rPr>
                <w:rFonts w:ascii="Times New Roman" w:hAnsi="Times New Roman"/>
                <w:sz w:val="24"/>
                <w:szCs w:val="24"/>
              </w:rPr>
            </w:pPr>
            <w:r w:rsidRPr="001236CD">
              <w:rPr>
                <w:rFonts w:ascii="Times New Roman" w:hAnsi="Times New Roman"/>
                <w:sz w:val="24"/>
                <w:szCs w:val="24"/>
              </w:rPr>
              <w:tab/>
              <w:t>"Гражданин имеет право на имущественный вычет, если оплатил недвижимость через представителя"</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Для оплаты представителем расходов налогоплательщика на приобретение недвижимости нотариальная доверенность не требуется</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При приобретении недвижимости гражданин составил доверенность и передал денежные средства за свою долю второму покупателю, который перевел продавцу всю сумму платежным поручением.</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По результатам налоговой проверки декларации по НДФЛ инспекция отказала налогоплательщику в праве на имущественный налоговый вычет, посчитав, что доверенность составлена некорректно - в простой письменной форме и не заверена нотариально.</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ФНС России признала решение инспекции необоснованным: если представитель действует в интересах и по поручению доверителя, оплачивая расходы на приобретение недвижимости, то нотариально заверенная доверенность ему не требуется (п. 3 ст. 29 НК РФ, 185.1 ГК РФ).</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Постановление Конституционного Суда РФ от 13.01.2020 N 1-П</w:t>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 xml:space="preserve">"По делу о проверке конституционности частей 2 </w:t>
            </w:r>
            <w:r w:rsidRPr="001236CD">
              <w:rPr>
                <w:rFonts w:ascii="Times New Roman" w:hAnsi="Times New Roman"/>
                <w:sz w:val="24"/>
                <w:szCs w:val="24"/>
              </w:rPr>
              <w:lastRenderedPageBreak/>
              <w:t>и 3 статьи 13, пункта 5 части 5 статьи 19 и части 1 статьи 20 Федерального закона "Об основах охраны здоровья граждан в Российской Федерации" в связи с жалобой гражданки Р.Д. Свечниковой"</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Супругам, близким родственникам, членам семьи умершего пациента должна быть предоставлена возможность ознакомления с его медицинскими документами</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 xml:space="preserve">Конституционный Суд РФ признал взаимосвязанные положения частей 2 и 3 статьи 13, пункта 5 части 5 статьи 19 и части 1 статьи 20 Федерального закона "Об основах охраны здоровья граждан в Российской Федерации" не соответствующими Конституции РФ в той мере, в какой в системе действующего правового </w:t>
            </w:r>
            <w:r w:rsidRPr="001236CD">
              <w:rPr>
                <w:rFonts w:ascii="Times New Roman" w:hAnsi="Times New Roman"/>
                <w:bCs/>
              </w:rPr>
              <w:lastRenderedPageBreak/>
              <w:t>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Федеральному законодателю надлежит внести в действующее правовое регулирование изменения, которые позволят нормативно определить условия и порядок доступа к медицинской документации умершего пациента.</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Впредь до внесения в законодательство необходимых изменений, вытекающих из настоящего Постановления, медицинским организациям надлежит по требованию супруга (супруги), близких родственников (членов семьи) умершего пациента, лиц, указанных в его информированном добровольном согласии на медицинское вмешательство, предоставлять им для ознакомления медицинские документы умершего пациента, с возможностью снятия своими силами копий (фотокопий), а если соответствующие медицинские документы существуют в электронной форме - предоставлять соответствующие электронные документы. При этом отказ в таком доступе может быть признан допустимым только в том случае, если при жизни пациент выразил запрет на раскрытие сведений о себе, составляющих врачебную тайну.</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Официальный интернет-портал правовой информации http://www.pravo.gov.ru, 14.01.2020</w:t>
            </w: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"МР 2.4.0162-19. 2.4. Гигиена детей и подростков.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Методические рекомендации"</w:t>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(утв. Главным государственным санитарным врачом РФ 30.12.2019)</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Утверждены рекомендации по организации питания детей, страдающих сахарным диабетом и иными заболеваниями, сопровождающимися ограничениями в питании</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Методическими рекомендациями, в числе прочего, устанавливается:</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перечень продуктов промышленного производства, которые могут содержать скрытый глютен;</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рекомендуемые наборы продуктов по приемам пищи для организации питания детей с сахарным диабетом;</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набор технологических карт на блюда для питания детей с сахарным диабетом.</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 xml:space="preserve">"Единые рекомендации по установлению на федеральном, региональном и местном уровнях систем оплаты труда работников </w:t>
            </w:r>
            <w:r w:rsidRPr="001236CD">
              <w:rPr>
                <w:rFonts w:ascii="Times New Roman" w:hAnsi="Times New Roman"/>
                <w:sz w:val="24"/>
                <w:szCs w:val="24"/>
              </w:rPr>
              <w:lastRenderedPageBreak/>
              <w:t>государственных и муниципальных учреждений на 2020 год"</w:t>
            </w:r>
            <w:r w:rsidRPr="001236CD">
              <w:rPr>
                <w:rFonts w:ascii="Times New Roman" w:hAnsi="Times New Roman"/>
                <w:sz w:val="24"/>
                <w:szCs w:val="24"/>
              </w:rPr>
              <w:tab/>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(утв. решением Российской трехсторонней комиссии по регулированию социально-трудовых отношений от 24.12.2019, протокол N 11)</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Рекомендации учитываются Правительством РФ, органами государственной власти субъектов РФ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указанных работников указанных учреждений.</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Рекомендации также учитываются трехсторонними комиссиями по регулированию социально-трудовых отношений, образованными в субъектах РФ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2020 году.</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"Российская газета", N 1, 09.01.2020</w:t>
            </w:r>
          </w:p>
        </w:tc>
      </w:tr>
      <w:tr w:rsidR="001236CD" w:rsidRPr="001236CD" w:rsidTr="001236CD">
        <w:trPr>
          <w:trHeight w:val="77"/>
        </w:trPr>
        <w:tc>
          <w:tcPr>
            <w:tcW w:w="70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22.</w:t>
            </w:r>
          </w:p>
        </w:tc>
        <w:tc>
          <w:tcPr>
            <w:tcW w:w="323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Решение Верховного Суда РФ от 09.12.2019 N АКПИ19-798</w:t>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&lt;О признании недействующим со дня принятия письма ФАС России от 18.06.2019 N ИА/50880/19 "О разъяснении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в части заключения государственного контракта с победителем закупки, применяющим упрощенную систему налогообложения"&gt;</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Верховный Суд РФ признал не действующим со дня принятия письмо ФАС России от 18 июня 2019 г. N ИА/50880/19 "О разъяснении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в части заключения государственного контракта с победителем закупки, применяющим упрощенную систему налогообложения"</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Верховный Суд РФ, в частности, указал, что письмо издано с превышением полномочий, создает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Письмо издано органом государственной власти, было направлено для использования в работе в подведомственные органы, указывает на необходимость учета изложенной в нем позиции при осуществлении контроля за соблюдением законодательства РФ о контрактной системе в сфере закупок, а также на необходимость доведения указанной позиции до сведения всех сотрудников территориальных органов ФАС России, что свидетельствует о наличии у него нормативных свойств.</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Согласно пункту 1 части 5 статьи 217.1 КАС РФ по общему правилу акты, обладающие нормативными свойствами, содержащие разъяснения, не соответствующие смыслу разъясняемых положений, признаются судом не действующими полностью или в части со дня их принятия.</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Поскольку письмо создает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издано административным ответчиком с превышением полномочий, оно подлежит признанию не действующим со дня его принятия в полном объеме.</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p>
        </w:tc>
      </w:tr>
      <w:tr w:rsidR="001236CD" w:rsidRPr="001236CD" w:rsidTr="00B75C19">
        <w:trPr>
          <w:trHeight w:val="77"/>
        </w:trPr>
        <w:tc>
          <w:tcPr>
            <w:tcW w:w="15276" w:type="dxa"/>
            <w:gridSpan w:val="5"/>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center"/>
              <w:rPr>
                <w:rFonts w:ascii="Times New Roman" w:hAnsi="Times New Roman"/>
                <w:b/>
                <w:bCs/>
                <w:sz w:val="24"/>
                <w:szCs w:val="24"/>
              </w:rPr>
            </w:pPr>
            <w:r w:rsidRPr="001236CD">
              <w:rPr>
                <w:rFonts w:ascii="Times New Roman" w:hAnsi="Times New Roman"/>
                <w:b/>
                <w:bCs/>
                <w:sz w:val="24"/>
                <w:szCs w:val="24"/>
              </w:rPr>
              <w:t>ОБЛАСТНОЕ ЗАКОНОДАТЕЛЬСТВО</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Указ Губернатора Иркутской области от 31.12.2019 N 323-уг</w:t>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lastRenderedPageBreak/>
              <w:tab/>
              <w:t>"О программе ликвидации последствий паводка, произошедшего на территории Иркутской области в 2019 году"</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Утверждены программы ликвидации последствий паводка, произошедшего на территории Иркутской области в 2019 году, на период до 1 августа 2020 года (первый этап), на период до 1 августа 2021 года (второй этап), на период до 1 августа 2022 года (третий этап).</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 xml:space="preserve">Официальный интернет-портал правовой информации Иркутской </w:t>
            </w:r>
            <w:r w:rsidRPr="001236CD">
              <w:rPr>
                <w:rFonts w:ascii="Times New Roman" w:hAnsi="Times New Roman"/>
                <w:bCs/>
                <w:sz w:val="24"/>
                <w:szCs w:val="24"/>
              </w:rPr>
              <w:lastRenderedPageBreak/>
              <w:t>области http://www.ogirk.ru, 31.12.2019,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09.01.2020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Указ Губернатора Иркутской области от 13.12.2019 N 319-уг</w:t>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"Об утверждении предельных (максимальных) индексов изменения размера вносимой гражданами платы за коммунальные услуги в муниципальных образованиях Иркутской области на 2020 год"</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Для муниципальных образований Иркутской области на 2020 год установлены предельные (максимальные) индексы изменения размера вносимой гражданами платы за коммунальные услуги. Также определено обоснование величины утвержденных предельных (максимальных) индексов изменения размера вносимой гражданами платы за коммунальные услуги в муниципальных образованиях Иркутской области на 2020 год.</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26.12.2019,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09.01.2020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Закон Иркутской области от 24.12.2019 N 137-ОЗ</w:t>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"О внесении изменений в отдельные законы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Изменениями, внесенными в Закон Иркутской области от 4 марта 2009 года N 3-оз, уточнены территории некоторых судебных участков города Шелехова и Шелеховского района. Изменениями, внесенными в Закон Иркутской области от 16 декабря 2004 года N 89-оз, установлено, что в состав Шелеховского района Иркутской области включено Большелугское муниципальное образование с административным центром в поселке Большой Луг, в связи с чем внесены изменения в Закон Иркутской области от 3 ноября 2016 года N 96-ОЗ "О закреплении за сельскими поселениями Иркутской области вопросов местного значения".</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26.12.2019,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26.12.2019</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Закон Иркутской области от 30.12.2019 N 140-ОЗ</w:t>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 xml:space="preserve">"О внесении изменений в статью 5 Закона Иркутской области "О порядке обеспечения детей-сирот и детей, оставшихся без попечения родителей, лиц из числа детей-сирот и детей, </w:t>
            </w:r>
            <w:r w:rsidRPr="001236CD">
              <w:rPr>
                <w:rFonts w:ascii="Times New Roman" w:hAnsi="Times New Roman"/>
                <w:sz w:val="24"/>
                <w:szCs w:val="24"/>
              </w:rPr>
              <w:lastRenderedPageBreak/>
              <w:t>оставшихся без попечения родителей, жилыми помещениями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 xml:space="preserve">Установлено, что формирование специализированного жилищного фонда Иркутской области для детей-сирот, лиц из числа детей-сирот осуществляется в объемах, необходимых для обеспечения жилыми помещениями детей-сирот, лиц из числа детей-сирот, лиц, достигших возраста 23 лет, включенных в список, обратившихся с заявлением о предоставлении жилого помещения. Также предусмотрено, что включение жилого помещения в специализированный жилищный фонд Иркутской области для детей-сирот, лиц из числа детей-сирот и исключение жилого помещения из указанного фонда производятся на основании решения органа по управлению имуществом в течение 30 дней с даты </w:t>
            </w:r>
            <w:r w:rsidRPr="001236CD">
              <w:rPr>
                <w:rFonts w:ascii="Times New Roman" w:hAnsi="Times New Roman"/>
                <w:bCs/>
              </w:rPr>
              <w:lastRenderedPageBreak/>
              <w:t>государственной регистрации права собственности Иркутской области на данные жилые помещения.</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Официальный интернет-портал правовой информации http://www.pravo.gov.ru, 30.12.2019,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 xml:space="preserve">Официальный интернет-портал правовой информации Иркутской </w:t>
            </w:r>
            <w:r w:rsidRPr="001236CD">
              <w:rPr>
                <w:rFonts w:ascii="Times New Roman" w:hAnsi="Times New Roman"/>
                <w:bCs/>
                <w:sz w:val="24"/>
                <w:szCs w:val="24"/>
              </w:rPr>
              <w:lastRenderedPageBreak/>
              <w:t>области http://www.ogirk.ru, 30.12.2019,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"Областная", N 7, 24.01.2020,</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24.01.2020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Закон Иркутской области от 24.12.2019 N 134-ОЗ</w:t>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"О внесении изменений в Закон Иркутской области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Внесены дополнения о том, что право на обеспечение жилыми помещениями сохраняется за лицами, которые достигли возраста 23 лет, если они относились к категории детей-сирот, лиц из числа детей-сирот 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года или после 1 января 2013 года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 детей-сирот, лиц из числа детей-сирот, лиц, достигших возраста 23 лет, которые подлежат обеспечению жилыми помещениями.</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26.12.2019,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26.12.2019</w:t>
            </w:r>
          </w:p>
          <w:p w:rsidR="001236CD" w:rsidRPr="001236CD" w:rsidRDefault="001236CD" w:rsidP="001236CD">
            <w:pPr>
              <w:autoSpaceDE w:val="0"/>
              <w:autoSpaceDN w:val="0"/>
              <w:adjustRightInd w:val="0"/>
              <w:rPr>
                <w:rFonts w:ascii="Times New Roman" w:hAnsi="Times New Roman"/>
                <w:bCs/>
                <w:sz w:val="24"/>
                <w:szCs w:val="24"/>
              </w:rPr>
            </w:pP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Постановление Правительства Иркутской области от 26.12.2019 N 1127-пп</w:t>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"О внесении изменения в абзац восьмой пункта 4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Изменениями, внесенными в постановление Правительства Иркутской области от 27 ноября 2014 года N 599-пп, уточнена формула определения базового норматива формирования расходов на оплату труда главы i-го муниципального образования j-й группы.</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27.12.2019,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09.01.2020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Постановление Правительства Иркутской области от 30.12.2019 N 1156-пп</w:t>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 xml:space="preserve">"О внесении изменения в приложение 2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переселению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являющийся приложением к подпрограмме "Обеспечение устойчивого сокращения непригодного для проживания жилищного фонда во взаимодействии с </w:t>
            </w:r>
            <w:r w:rsidRPr="001236CD">
              <w:rPr>
                <w:rFonts w:ascii="Times New Roman" w:hAnsi="Times New Roman"/>
                <w:sz w:val="24"/>
                <w:szCs w:val="24"/>
              </w:rPr>
              <w:lastRenderedPageBreak/>
              <w:t>государственной корпорацией - Фондом содействия реформированию жилищно-коммунального хозяйства" на 2019 - 2024 годы государственной программы Иркутской области "Доступное жилье" на 2019 - 2024 годы"</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Изменениями, внесенными в постановление Правительства Иркутской области от 20 мая 2019 года N 399-пп, общий объем субсидирования увеличен с 970 960,2 тыс. руб. до 1 154 639,10000 тыс. руб. за счет средств областного бюджета.</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30.12.2019,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10.01.2020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8.</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Постановление Правительства Иркутской области от 30.12.2019 N 1141-пп</w:t>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музыкальных инструментов, оборудования и материалов для детских школ искусств по видам искусств"</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Положением под детскими школами искусств по видам искусств понимаются муниципальные образовательные организации дополнительного образования детей, расположенные на территории Иркутской области и осуществляющие образовательную деятельность по дополнительным предпрофессиональным программам в области музыкального искусства. При этом под приобретением музыкальных инструментов, оборудования и материалов понимается: приобретение 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 приобретение оборудования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детских школ искусств, клавиры, партитуры и хрестоматии). Кроме того, утверждены критерии конкурсного отбора муниципальных образований для предоставления субсидий: наделение муниципального образования, являющегося учредителем детской школы искусств, статусом муниципального района, городского округа; здание (помещение) детской школы искусств находится в собственности муниципального образования и не признано аварийным. Также предусмотрена формула, по которой рассчитывается предварительный размер субсидии.</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30.12.2019,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10.01.2020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Постановление Правительства Иркутской области от 30.12.2019 N 1135-пп</w:t>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 xml:space="preserve">"Об утверждении Положения о порядке </w:t>
            </w:r>
            <w:r w:rsidRPr="001236CD">
              <w:rPr>
                <w:rFonts w:ascii="Times New Roman" w:hAnsi="Times New Roman"/>
                <w:sz w:val="24"/>
                <w:szCs w:val="24"/>
              </w:rPr>
              <w:lastRenderedPageBreak/>
              <w:t>предоставления субсидий из областного бюджета местным бюджетам в целях софинансирования расходных обязательств муниципальных образований Иркутской области по переселению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 и о внесении изменений в постановление Правительства Иркутской области от 3 апреля 2019 года N 281-пп"</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 xml:space="preserve">Положением определено, что переселению из аварийного жилищного фонда подлежат многоквартирные дома, включенные в Перечень многоквартирных домов, признанных в установленном порядке до 1 января 2017 года аварийными и подлежащими сносу или реконструкции, являющийся приложением 1 к подпрограмме "Обеспечение устойчивого сокращения непригодного для проживания жилищного фонда" государственной программы Иркутской области </w:t>
            </w:r>
            <w:r w:rsidRPr="001236CD">
              <w:rPr>
                <w:rFonts w:ascii="Times New Roman" w:hAnsi="Times New Roman"/>
                <w:bCs/>
              </w:rPr>
              <w:lastRenderedPageBreak/>
              <w:t>"Доступное жилье" на 2019 - 2024 годы. Субсидии предоставляются: на строительство жилых помещений муниципальными образованиями для переселения граждан из аварийного жилищного фонда Иркутской области, признанного таковым до 1 января 2017 года и включенного в Перечень; на приобретение муниципальными образованиями жилых помещений для переселения граждан из аварийного жилищного фонда Иркутской области, признанного таковым до 1 января 2017 года и включенного в Перечень;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признанного таковым до 1 января 2017 года и включенного в Перечень. Исполнительным органом государственной власти Иркутской области, уполномоченным на предоставление субсидий, является министерство строительства, дорожного хозяйства Иркутской области. Установлены критерии отбора муниципальных образований для предоставления субсидий, в частности, наличие аварийного жилищного фонда Иркутской области, признанного таковым до 1 января 2017 года и включенного в Перечень; условия предоставления субсидий, например, наличие в местном бюджете (сводной бюджетной росписи местного бюджета) бюджетных ассигнований на реализацию мероприятий в объеме, необходимом для их реализации, включающем размер планируемых к предоставлению субсидий. Указано, что предоставление субсидий осуществляется на основании соглашения, заключаемого между министерством и органом местного самоуправления, путем их перечисления в установленном законодательством порядке. В случае незаключения соглашения субсидии не предоставляются. Ответственность за целевое использование субсидий, соблюдение условий предоставления субсидий, достижение муниципальным образованием значений показателей результативности использования субсидий, предусмотренных соглашением, достоверность представляемых в министерство сведений возлагается на органы местного самоуправления. Документ применяется к правоотношениям, возникающим при составлении и исполнении областного бюджета, начиная с бюджета на 2020 год и на плановый период 2021 и 2022 годов.</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 xml:space="preserve">Изменениями, внесенными в постановление Правительства Иркутской области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переселению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являющийся приложением к подпрограмме "Обеспечение устойчивого сокращения непригодного для проживания жилищного фонда" на 2019 - 2024 годы государственной программы Иркутской области "Доступное жилье" на 2019 - 2024 годы, и признании утратившими силу отдельных постановлений Правительства </w:t>
            </w:r>
            <w:r w:rsidRPr="001236CD">
              <w:rPr>
                <w:rFonts w:ascii="Times New Roman" w:hAnsi="Times New Roman"/>
                <w:bCs/>
              </w:rPr>
              <w:lastRenderedPageBreak/>
              <w:t>Иркутской области", уточнено, что документ действует до 31 декабря 2019 года, за исключением отдельных положений.</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Официальный интернет-портал правовой информации http://www.pravo.gov.ru, 30.12.2019</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10.</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Постановление Правительства Иркутской области от 28.12.2019 N 1134-пп</w:t>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"О внесении изменения в приложение 3 к Положению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специализированной техники для водоснабжения населения и субсидии на софинансирование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Изменениями, внесенными в постановление Правительства Иркутской области от 02.06.2016 N 336-пп, распределение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на 2019 - 2021 годы изложено в новой редакции. В частности, в 2019 году объем финансирования за счет средств федерального бюджета составил 1 425 759,7959 тыс. руб. (ранее - 1 313 008,3959 тыс. руб.).</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30.12.2019,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10.01.2020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11.</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Постановление Правительства Иркутской области от 26.12.2019 N 1130-пп</w:t>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"О внесении изменений в постановление Правительства Иркутской области от 2 сентября 2019 года N 713-пп"</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Изменениями, внесенными в постановление Правительства Иркутской области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капитального ремонта поврежденных жилых помещений, находящихся в муниципальной собственности, на 2019 год", уточнено, что критерием отбора муниципальных образований Иркутской области для предоставления субсидий является расположение территории (части территории) муниципального образования Иркутской области в границах подтопленных (затопленных) зон чрезвычайной ситуации, сложившейся в результате паводка, вызванного сильными дождями, прошедшими в июне - июле (ранее только в июне) 2019 года на территории Иркутской области в границах населенных пунктов муниципальных образований Иркутской области. Установлено, что в целях предоставления субсидий министерство на официальном сайте министерства в информационно-телекоммуникационной сети "Интернет" публикует извещение, которое должно содержать следующие сведения: порядок, место и срок представления документов; контактную информацию. Уточнено распределение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капитального ремонта поврежденных жилых помещений, находящихся в муниципальной собственности. В частности, муниципальному образованию - "город Тулун" установлен размер субсидий за счет средств областного бюджета, равный 268,14 тыс. рублей.</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27.12.2019,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09.01.2020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Постановление Правительства Иркутской области от 25.12.2019 N 1125-пп</w:t>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 xml:space="preserve">"О внесении изменений в Правила, устанавливающие общие требования к формированию, предоставлению и распределению субсидий местным бюджетам из областного бюджета, а также порядок определения и установления предельного уровня софинансирования Иркутской области (в </w:t>
            </w:r>
            <w:r w:rsidRPr="001236CD">
              <w:rPr>
                <w:rFonts w:ascii="Times New Roman" w:hAnsi="Times New Roman"/>
                <w:sz w:val="24"/>
                <w:szCs w:val="24"/>
              </w:rPr>
              <w:lastRenderedPageBreak/>
              <w:t>процентах) объема расходного обязательства муниципального образования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Установлено, что соглашения о предоставлении субсидий, заключаемые между главными распорядителями средств областного бюджета и органами местного самоуправления муниципальных образований Иркутской области, кроме прочего должны содержать обязательства муниципального образования Иркутской области по исполнению расходных обязательств, в целях софинансирования которых предоставляется субсидия, а также обязательства муниципального образования Иркутской области по возврату средств в областной бюджет. Уточнены основания для освобождения муниципального образования Иркутской области от применения мер ответственности в случае нарушения обязательств, предусмотренных соглашением о предоставлении субсидии. Указано, что изменения применяются к правоотношениям, возникающим при составлении и исполнении областного бюджета, начиная с бюджета на 2020 год и на плановый период 2021 и 2022 годов.</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26.12.2019,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09.01.2020,</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13.01.2020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13.</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Постановление Правительства Иркутской области от 23.12.2019 N 1118-пп</w:t>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связанных с осуществлением дорожной деятельности в рамках реализации национального проекта "Безопасные и качественные автомобильные дороги"</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Положением установлено, что субсидии бюджетам муниципальных образований Иркутской области, не наделенных статусом административного центра Иркутской области, предоставляются за счет иных межбюджетных трансфертов из федерального бюджета, субсидии бюджету муниципального образования Иркутской области, наделенного статусом административного центра Иркутской области, предоставляются за счет средств областного бюджета и иных межбюджетных трансфертов из федерального бюджета. Предусмотрено, что предоставление субсидий осуществляется в году, следующем за годом проведения отбора, в пределах лимитов бюджетных обязательств, доведенных до министерства строительства, дорожного хозяйства Иркутской области на соответствующий финансовый год и на плановый период в соответствии со сводной бюджетной росписью областного бюджета. Закреплено, что субсидии предоставляются в целях реализации следующих мероприятий: строительство, реконструкция, капитальный ремонт, ремонт автомобильных дорог общего пользования местного значения; строительство, реконструкция, капитальный ремонт, ремонт автомобильных дорог общего пользования местного значения административного центра Иркутской области. При этом определены критерии отбора муниципальных образований Иркутской области для предоставления субсидий: в целях реализации мероприятий по строительству, реконструкции, капитальному ремонту, ремонту автомобильных дорог общего пользования местного значения - участие соответствующего муниципального образования Иркутской области в реализации национального проекта "Безопасные и качественные автомобильные дороги"; в целях реализации мероприятий по строительству, реконструкции, капитальному ремонту, ремонту автомобильных дорог общего пользования местного значения административного центра Иркутской области - отнесение муниципального образования Иркутской области к административному центру, участие муниципального образования Иркутской области в реализации национального проекта "Безопасные и качественные автомобильные дороги". Указано, что в случае нецелевого использования субсидий и (или) нарушения муниципальным образованием Иркутской области условий предоставления субсидий к нему применяются бюджетные меры принуждения, предусмотренные бюджетным законодательством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26.12.2019,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26.12.2019</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tab/>
              <w:t>Постановление Правительства Иркутской области от 30.12.2019 N 1146-пп</w:t>
            </w:r>
          </w:p>
          <w:p w:rsidR="001236CD" w:rsidRPr="001236CD" w:rsidRDefault="001236CD" w:rsidP="001236CD">
            <w:pPr>
              <w:autoSpaceDE w:val="0"/>
              <w:autoSpaceDN w:val="0"/>
              <w:adjustRightInd w:val="0"/>
              <w:ind w:right="-108"/>
              <w:rPr>
                <w:rFonts w:ascii="Times New Roman" w:hAnsi="Times New Roman"/>
                <w:sz w:val="24"/>
                <w:szCs w:val="24"/>
              </w:rPr>
            </w:pPr>
            <w:r w:rsidRPr="001236CD">
              <w:rPr>
                <w:rFonts w:ascii="Times New Roman" w:hAnsi="Times New Roman"/>
                <w:sz w:val="24"/>
                <w:szCs w:val="24"/>
              </w:rPr>
              <w:lastRenderedPageBreak/>
              <w:tab/>
              <w:t>"О внесении изменений в пункт 6 Порядка оповещения и информирования населения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 xml:space="preserve">Внесенными изменениями определено, что с использованием региональной системы оповещения информация и сигналы оповещения доводятся, в числе прочих, не до специально уполномоченных подразделений, созданных при органах местного самоуправления муниципальных образований Иркутской области, а до </w:t>
            </w:r>
            <w:r w:rsidRPr="001236CD">
              <w:rPr>
                <w:rFonts w:ascii="Times New Roman" w:hAnsi="Times New Roman"/>
                <w:bCs/>
              </w:rPr>
              <w:lastRenderedPageBreak/>
              <w:t>единых дежурно-диспетчерских служб муниципальных образований, подведомственных органам местного самоуправления, экстренных дежурно-диспетчерских служб, а также других организаций, обеспечивающих деятельность органов местного самоуправления в области защиты населения и территорий от чрезвычайных ситуаций.</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 xml:space="preserve">Официальный интернет-портал правовой информации </w:t>
            </w:r>
            <w:r w:rsidRPr="001236CD">
              <w:rPr>
                <w:rFonts w:ascii="Times New Roman" w:hAnsi="Times New Roman"/>
                <w:bCs/>
                <w:sz w:val="24"/>
                <w:szCs w:val="24"/>
              </w:rPr>
              <w:lastRenderedPageBreak/>
              <w:t>http://www.pravo.gov.ru, 30.12.2019,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10.01.2020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15.</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Постановление Правительства Иркутской области от 23.12.2019 N 1119-пп</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"О внесении изменения в пункт 36 Положения о порядке проведения оценки регулирующего воздействия проектов нормативных правовых актов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Внесенными изменениями установлено, что в случае принятия решения о продолжении работы по подготовке проекта нормативного правового акта Иркутской области сводный отчет и проект нормативного правового акта при необходимости дорабатываются регулирующим органом с учетом поступивших в процессе проведения публичных консультаций предложений в течение 10 рабочих дней не со дня окончания срока проведения публичных консультаций, а со дня принятия такого решения.</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26.12.2019,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26.12.2019</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Постановление Правительства Иркутской области от 09.01.2020 N 1-пп</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"О внесении изменений в пункт 8 Положения о министерстве социального развития, опеки и попечительства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Внесенными изменениями на министерство возложена функция по созданию нормативных актов, регулирующих порядок предоставления ежемесячной денежной выплаты, ежегодной денежной выплаты ко Дню Победы (9 мая), денежной компенсации 50 процентов расходов на оплату жилого помещения и коммунальных услуг гражданам, которым присвоен статус детей Великой Отечественной войны, проживающим в Иркутской области, в части, не определенной Законом Иркутской области от 15 июля 2013 года N 66-ОЗ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 Также на министерство возложена дополнительная обязанность по предоставлению денежной компенсации 50 процентов расходов на оплату жилого помещения и коммунальных услуг гражданам, которым присвоен статус детей Великой Отечественной войны, проживающим в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Постановление Правительства Иркутской области от 09.01.2020 N 6-пп</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 xml:space="preserve">"Об утверждении Положения об отдельных вопросах организации работы </w:t>
            </w:r>
            <w:r w:rsidRPr="001236CD">
              <w:rPr>
                <w:rFonts w:ascii="Times New Roman" w:hAnsi="Times New Roman"/>
                <w:sz w:val="24"/>
                <w:szCs w:val="24"/>
              </w:rPr>
              <w:lastRenderedPageBreak/>
              <w:t>по передаче имущества, закупаемого министерством спорта Иркутской области в 2020 году за счет средств бюджетных ассигнований областного бюджета в рамках реализации государственной программы Иркутской области "Развитие физической культуры и спорта" на 2019 - 2024 годы, в собственность муниципальному образованию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 xml:space="preserve">Положение регулирует отдельные вопросы организации работы по передаче имущества, закупаемого министерством спорта Иркутской области в 2020 году за счет средств бюджетных ассигнований областного бюджета в собственность муниципальному образованию Иркутской области. С целью передачи спортивно-технологического оборудования для создания или модернизации футбольного поля с искусственным покрытием и легкоатлетическими беговыми дорожками, приобретаемого министерством спорта Иркутской области в рамках </w:t>
            </w:r>
            <w:r w:rsidRPr="001236CD">
              <w:rPr>
                <w:rFonts w:ascii="Times New Roman" w:hAnsi="Times New Roman"/>
                <w:bCs/>
              </w:rPr>
              <w:lastRenderedPageBreak/>
              <w:t>государственной программы, в собственность муниципальному образованию Иркутской области министерство проводит рейтинговый отбор муниципальных образований Иркутской области на передачу футбольного поля. В рейтинговом отборе принимают участие муниципальные районы, городские округа, которые соответствуют следующим условиям: наличие земельного участка, и (или) плоскостного сооружения, и (или) стадиона в собственности муниципального образования, на территории которого предполагается размещение и укладка футбольного поля; наличие в местном бюджете бюджетных ассигнований на реализацию мероприятий в объеме, необходимом для подготовки основания для футбольного поля, укладки футбольного поля и его сертификации в соответствии с требованиями производителя (объем бюджетных ассигнований рассчитывается муниципальным образованием самостоятельно, подтверждением является не менее трех коммерческих предложений); наличие в муниципальном образовании организаций, осуществляющих реализацию программы спортивной подготовки в соответствии с федеральным стандартом по виду спорта "футбол". Определено, что муниципальное образование, победившее в рейтинговом отборе в 2019 году, лишается права на подачу заявки на участие в рейтинговом отборе в 2020 году.</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Официальный интернет-портал правовой информации http://www.pravo.gov.ru, 15.01.2020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18.</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Постановление Правительства Иркутской области от 10.01.2020 N 7-пп</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Изменениями, внесенными в постановление Правительства Иркутской области от 11 мая 2016 года N 264-пп, установлено, что распределение субсидий между муниципальными образованиями Иркутской области осуществляется на основании Рейтингов и с учетом распределения лимитов бюджетных обязательств, доведенных до министерства на соответствующий финансовый год и на плановый период: для муниципальных образований Иркутской области, примерная стоимость реализации мероприятия которых составляет до 15 000 тыс. рублей, - 10 процентов от объема указанных лимитов; для муниципальных образований Иркутской области, примерная стоимость реализации мероприятия которых составляет от 15 000 тыс. рублей до 50 000 тыс. рублей, - 15 процентов от объема указанных лимитов; для муниципальных образований Иркутской области, примерная стоимость реализации мероприятия которых составляет свыше 50 000 тыс. рублей, - 75 процентов от объема указанных лимитов.</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15.01.2020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Постановление Правительства Иркутской области от 30.12.2019 N 1153-пп</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 xml:space="preserve">"О внесении изменений в постановление </w:t>
            </w:r>
            <w:r w:rsidRPr="001236CD">
              <w:rPr>
                <w:rFonts w:ascii="Times New Roman" w:hAnsi="Times New Roman"/>
                <w:sz w:val="24"/>
                <w:szCs w:val="24"/>
              </w:rPr>
              <w:lastRenderedPageBreak/>
              <w:t>Правительства Иркутской области от 2 июня 2016 года N 336-пп"</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 xml:space="preserve">Изменениями, внесенными в постановление Правительства Иркутской области "Об утверждении Положения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w:t>
            </w:r>
            <w:r w:rsidRPr="001236CD">
              <w:rPr>
                <w:rFonts w:ascii="Times New Roman" w:hAnsi="Times New Roman"/>
                <w:bCs/>
              </w:rPr>
              <w:lastRenderedPageBreak/>
              <w:t>приобретению специализированной техники для водоснабжения населения и субсидии на софинансирование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 и о внесении изменений в государственную программу Иркутской области "Развитие жилищно-коммунального хозяйства Иркутской области" на 2014 - 2018 годы", дано понятие разработки проектной документации на строительство, реконструкцию и модернизацию объектов, под которой понимается выполнение инженерных изысканий и разработка документации, содержащей материалы в текстовой и графической формах и (или) в форме информационной модели и определяющей архитектурные, функционально-технологические, конструктивные и инженерно-технические решения для обеспечения строительства, реконструкции и модернизации объектов. Кроме того, предусмотрены дополнительные условия для предоставления субсидии: заключение соглашения о предоставлении субсидий, соответствующего требованиям, предусмотренным Правилами, устанавливающими общие требования к формированию, предоставлению и распределению субсидий местным бюджетам из областного бюджета, а также порядок определения и установления предельного уровня софинансирования Иркутской области (в процентах) объема расходного обязательства муниципального образования Иркутской области, а также предусматривающего обязательства муниципального образования по реализации соответствующего мероприятия и ответственность за неисполнение предусмотренных указанным соглашением обязательств; осуществление уполномоченным исполнительным органом государственной власти Иркутской области на определение поставщиков (подрядчиков, исполнителей) централизации закупок товаров, работ, услуг (в случае, если стоимость реализации соответствующего мероприятия составляет 100 000 000 (сто миллионов) рублей и более). При этом закреплено, что указанные изменения применяются к правоотношениям, возникающим при составлении и исполнении областного бюджета, начиная с бюджета на 2020 год и на плановый период 2021 и 2022 годов.</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Официальный интернет-портал правовой информации http://www.pravo.gov.ru, 30.12.2019</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20.</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Постановление Правительства Иркутской области от 17.01.2020 N 23-пп</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 xml:space="preserve">"Об установлении стоимости бесплатного обеда на одного учащегося, посещающего муниципальную общеобразовательную организацию, а также </w:t>
            </w:r>
            <w:r w:rsidRPr="001236CD">
              <w:rPr>
                <w:rFonts w:ascii="Times New Roman" w:hAnsi="Times New Roman"/>
                <w:sz w:val="24"/>
                <w:szCs w:val="24"/>
              </w:rPr>
              <w:lastRenderedPageBreak/>
              <w:t>посещающего частную общеобразовательную организацию, осуществляющую образовательную деятельность по имеющим государственную аккредитацию основным общеобразовательным программам"</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 xml:space="preserve">Установлена стоимость бесплатного обеда на одного учащегося: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в районах Крайнего Севера Иркутской области, местностях, приравненных к районам Крайнего Севера Иркутской области, для возрастной группы 7 - 10 лет (включая детей, не достигших возраста семи лет) - 132 рубля; для возрастной группы 11 - 18 лет - 153 рубля;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в иных местностях </w:t>
            </w:r>
            <w:r w:rsidRPr="001236CD">
              <w:rPr>
                <w:rFonts w:ascii="Times New Roman" w:hAnsi="Times New Roman"/>
                <w:bCs/>
              </w:rPr>
              <w:lastRenderedPageBreak/>
              <w:t>Иркутской области, для возрастной группы 7 - 10 лет (включая детей, не достигших возраста семи лет) - 121 рубль; для возрастной группы 11 - 18 лет - 139 рублей.</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Официальный интернет-портал правовой информации Иркутской области http://www.ogirk.ru, 20.01.2020,</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22.01.2020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21.</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Постановление Правительства Иркутской области от 30.12.2019 N 1150-пп</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"О внесении изменений в 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Изменениями, внесенными в постановление Правительства Иркутской области от 11 мая 2012 года N 233-пп, в целях обеспечения эффективности организации дорожного движения в соответствии с Федеральным законом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уточнено, что, кроме прочих случаев, временные ограничение или прекращение движения устанавливаются также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Иркутской области. Предусмотрено, что акт о введении временных ограничения или прекращении движения принимается: на автомобильных дорогах регионального или межмуниципального значения Иркутской области - министерством строительства, дорожного хозяйства Иркутской области; на автомобильных дорогах местного значения - органом местного самоуправления муниципального образования Иркутской области. Также определено, что на период введения временных ограничения или прекращения движения на срок, превышающий сутки, организациями, указанными в акте о введении временных ограничения или прекращения движения, разрабатывается проект организации дорожного движения.</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30.12.2019,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10.01.2020,</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"Областная", N 7, 24.01.2020,</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24.01.2020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Постановление Правительства Иркутской области от 30.12.2019 N 1152-пп</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 xml:space="preserve">"О внесении изменений в постановление Правительства Иркутской </w:t>
            </w:r>
            <w:r w:rsidRPr="001236CD">
              <w:rPr>
                <w:rFonts w:ascii="Times New Roman" w:hAnsi="Times New Roman"/>
                <w:sz w:val="24"/>
                <w:szCs w:val="24"/>
              </w:rPr>
              <w:lastRenderedPageBreak/>
              <w:t>области от 8 февраля 2018 года N 82-пп"</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 xml:space="preserve">Изменениями, внесенными в постановление Правительства Иркутской области "Об утверждении Положения 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 субсидии на подготовку документации по планировке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 установлено, что </w:t>
            </w:r>
            <w:r w:rsidRPr="001236CD">
              <w:rPr>
                <w:rFonts w:ascii="Times New Roman" w:hAnsi="Times New Roman"/>
                <w:bCs/>
              </w:rPr>
              <w:lastRenderedPageBreak/>
              <w:t>служба архитектуры Иркутской области по результатам рассмотрения документов, необходимых для получения субсидии, и осуществления их оценки в соответствии с критериями в срок до 1 марта года предоставления субсидий принимает решение о включении муниципального образования Иркутской области в перечень муниципальных образований Иркутской области - участников мероприятий либо об отказе во включении муниципального образования Иркутской области в перечень участников и формирует перечень участников; определяет победителей отбора и принимает решение о предоставлении субсидий либо об отказе в предоставлении субсидий. Определено, что победителем отбора муниципальных образований Иркутской области для предоставления субсидий признается муниципальное образование Иркутской области, которому присвоен первый порядковый номер в перечне участников. Также указано, что в случае если объем средств, предусмотренных в областном бюджете, на предоставление субсидий в году предоставления субсидий больше размера субсидии для муниципального образования Иркутской области, которому присвоен первый порядковый номер в перечне участников, победителями отбора признаются муниципальные образования Иркутской области, которым присвоены последующие порядковые номера в перечне участников, в пределах лимитов бюджетных обязательств, доведенных до Службы на соответствующий финансовый год на установленные цели. Указанные изменения применяются к правоотношениям, возникающим при составлении и исполнении областного бюджета, начиная с бюджета на 2020 год и на плановый период 2021 и 2022 годов.</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Официальный интернет-портал правовой информации http://www.pravo.gov.ru, 30.12.2019,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 xml:space="preserve">Официальный интернет-портал правовой </w:t>
            </w:r>
            <w:r w:rsidRPr="001236CD">
              <w:rPr>
                <w:rFonts w:ascii="Times New Roman" w:hAnsi="Times New Roman"/>
                <w:bCs/>
                <w:sz w:val="24"/>
                <w:szCs w:val="24"/>
              </w:rPr>
              <w:lastRenderedPageBreak/>
              <w:t>информации Иркутской области http://www.ogirk.ru, 10.01.2020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23.</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Постановление Правительства Иркутской области от 20.12.2019 N 1112-пп</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 xml:space="preserve">"Об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 и о внесении изменения в постановление </w:t>
            </w:r>
            <w:r w:rsidRPr="001236CD">
              <w:rPr>
                <w:rFonts w:ascii="Times New Roman" w:hAnsi="Times New Roman"/>
                <w:sz w:val="24"/>
                <w:szCs w:val="24"/>
              </w:rPr>
              <w:lastRenderedPageBreak/>
              <w:t>Правительства Иркутской области от 10 февраля 2016 года N 67-пп"</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 xml:space="preserve">Положением определено, что гранты предоставляются на реализацию общественно значимых проектов по благоустройству сельских территорий по следующим направлениям: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 организация пешеходных коммуникаций, в том числе тротуаров, аллей, дорожек, тропинок; обустройство территории в целях обеспечения беспрепятственного передвижения инвалидов и других маломобильных групп населения; организация ливневых стоков; обустройство общественных колодцев и водоразборных колонок; обустройство площадок накопления твердых коммунальных отходов; сохранение и восстановление природных ландшафтов и историко-культурных памятников. Исполнительным органом государственной власти Иркутской области, уполномоченным на предоставление грантов, является министерство сельского хозяйства Иркутской области. Критерием конкурсного отбора муниципальных образований для предоставления грантов является отнесение муниципального образования к сельской территории или наличие в составе муниципального образования сельской территории. Выделены условия предоставления грантов. Для </w:t>
            </w:r>
            <w:r w:rsidRPr="001236CD">
              <w:rPr>
                <w:rFonts w:ascii="Times New Roman" w:hAnsi="Times New Roman"/>
                <w:bCs/>
              </w:rPr>
              <w:lastRenderedPageBreak/>
              <w:t>участия в конкурсном отборе орган местного самоуправления муниципального образования в срок до 1 мая года, предшествующего году предоставления грантов, представляет в министерство необходимые документы, перечень которых приведен. Министерство в срок до 10 июня года, предшествующего году предоставления грантов: рассматривает документы; принимает решение о включении муниципального образования в перечень муниципальных образований - участников мероприятий по благоустройству сельских территорий либо об отказе во включении муниципального образования в перечень участников и формирует перечень участников; производит оценку проектов муниципальных образований, включаемых в перечень участников, в соответствии с методикой балльной системы оценок проектов, утвержденной правовым актом министерства. Перечень участников формируется в целях определения победителей конкурсного отбора и осуществления распределения грантов между муниципальными образованиями на конкурсной основе. Победителем конкурсного отбора признается муниципальное образование, проекту которого присвоен первый порядковый номер в перечне участников. Предоставление гранта осуществляется на основании соглашения путем его перечисления в установленном законодательством порядке. В случае нецелевого использования гранта к муниципальному образованию применяются бюджетные меры принуждения, предусмотренные бюджетным законодательством Российской Федерации.</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Изменениями, внесенными в постановление Правительства Иркутской области от 10 февраля 2016 года N 67-пп "О предоставлении и расходовании субсидий из областного бюджета местным бюджетам в целях софинансирования расходных обязательств на поддержку местных инициатив граждан, проживающих в сельской местности", уточнено, что документ действует до 31 декабря 2019 года, за исключением отдельных положений.</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Официальный интернет-портал правовой информации http://www.pravo.gov.ru, 25.12.2019</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24.</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Постановление Правительства Иркутской области от 30.12.2019 N 1143-пп</w:t>
            </w:r>
            <w:r w:rsidRPr="001236CD">
              <w:rPr>
                <w:rFonts w:ascii="Times New Roman" w:hAnsi="Times New Roman"/>
                <w:sz w:val="24"/>
                <w:szCs w:val="24"/>
              </w:rPr>
              <w:tab/>
              <w:t>"Об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по межмуниципальным маршрутам в Иркутской области на 2020 год"</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 xml:space="preserve">Документом планирования установлено, что он подготовлен в целях повышения качества и эффективности транспортного обслуживания населения Иркутской области по регулярным перевозкам по межмуниципальным маршрутам в Иркутской области, определения направления развития регулярных перевозок, оптимизации существующих межмуниципальных маршрутов в Иркутской области с учетом социальных и экономических факторов и устанавливает перечень мероприятий по развитию регулярных перевозок по межмуниципальным маршрутам в Иркутской области. При этом указано, что Документ планирования устанавливается сроком до 1 января 2021 года и включает в себя перечень следующих мероприятий: изменение вида регулярных перевозок, осуществляемых по межмуниципальным маршрутам в Иркутской области, - планируется на весь период действия Документа планирования по мере возникновения необходимости; отмена межмуниципальных маршрутов регулярных перевозок - планируется на весь период действия Документа планирования при наличии соответствующего решения, принятого в установленном порядке; заключение государственных контрактов на выполнение работ, связанных </w:t>
            </w:r>
            <w:r w:rsidRPr="001236CD">
              <w:rPr>
                <w:rFonts w:ascii="Times New Roman" w:hAnsi="Times New Roman"/>
                <w:bCs/>
              </w:rPr>
              <w:lastRenderedPageBreak/>
              <w:t>с осуществлением регулярных перевозок по регулируемым тарифам по межмуниципальным маршрутам в Иркутской области, - не планируется.</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Официальный интернет-портал правовой информации http://www.pravo.gov.ru, 30.12.2019</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25.</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Постановление Правительства Иркутской области от 23.12.2019 N 1119-пп</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"О внесении изменения в пункт 36 Положения о порядке проведения оценки регулирующего воздействия проектов нормативных правовых актов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Внесенными изменениями установлено, что в случае принятия решения о продолжении работы по подготовке проекта нормативного правового акта Иркутской области сводный отчет и проект нормативного правового акта при необходимости дорабатываются регулирующим органом с учетом поступивших в процессе проведения публичных консультаций предложений в течение 10 рабочих дней не со дня окончания срока проведения публичных консультаций, а со дня принятия такого решения.</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26.12.2019,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26.12.2019</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Постановление Правительства Иркутской области от 14.01.2020 N 12-пп</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"О внесении изменений в Положение о случае и порядке организации индивидуального отбора при приеме либо переводе в государственные общеобразовательные организации Иркутской области и муниципальные общеобразовательные организации в Иркутской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Внесенными изменениями определено, что индивидуальный отбор организуется в случае наличия (создания) в образовательной организации классов с углубленным изучением отдельных учебных предметов и (или) классов с профильным обучением, кроме универсального (ранее данное исключение не оговаривалось).</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16.01.2020,</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Иркутской области http://www.ogirk.ru, 17.01.2020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27.</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 xml:space="preserve">Приказ министерства социального развития, опеки и попечительства Иркутской </w:t>
            </w:r>
            <w:r w:rsidRPr="001236CD">
              <w:rPr>
                <w:rFonts w:ascii="Times New Roman" w:hAnsi="Times New Roman"/>
                <w:sz w:val="24"/>
                <w:szCs w:val="24"/>
              </w:rPr>
              <w:lastRenderedPageBreak/>
              <w:t>области от 14.01.2020 N 53-3/20-мпр</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"Об утверждении тарифов на социальные услуги на 2020 год, предоставляемые в форме социального обслуживания на дому, и корректирующего коэффициента, применяемого к тарифам"</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 xml:space="preserve">Установлены тарифы на социальные услуги на 2020 год, предоставляемые в форме социального обслуживания на дому частично и полностью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гражданам в возрасте старше 18 лет; </w:t>
            </w:r>
            <w:r w:rsidRPr="001236CD">
              <w:rPr>
                <w:rFonts w:ascii="Times New Roman" w:hAnsi="Times New Roman"/>
                <w:bCs/>
              </w:rPr>
              <w:lastRenderedPageBreak/>
              <w:t>тарифы на социальные услуги на 2020 год, предоставляемые в форме социального обслуживания на дому частично или полностью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несовершеннолетним детям; тарифы на социальные услуги на 2020 год, предоставляемые в форме социального обслуживания на дому родителям (законным представителям), воспитывающим ребенка-инвалида или детей-инвалидов, нуждающихся в постоянном постороннем уходе, или ребенка и детей, испытывающих трудности в социальной адаптации; тарифы на социальные услуги на 2020 год, предоставляемые в форме социального обслуживания на дому инвалидам в возрасте старше 18 лет, имеющим степень выраженности ограничений жизнедеятельности. Определен для поставщиков социальных услуг, включенных в реестр поставщиков социальных услуг Иркутской области по состоянию на 1 января 2020 года, корректирующий коэффициент, учитывающий расходы поставщика социальных услуг на коммунальные услуги и на содержание недвижимого имущества, в размере 1.</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 xml:space="preserve">Официальный интернет-портал правовой информации </w:t>
            </w:r>
            <w:r w:rsidRPr="001236CD">
              <w:rPr>
                <w:rFonts w:ascii="Times New Roman" w:hAnsi="Times New Roman"/>
                <w:bCs/>
                <w:sz w:val="24"/>
                <w:szCs w:val="24"/>
              </w:rPr>
              <w:lastRenderedPageBreak/>
              <w:t>http://www.pravo.gov.ru, 15.01.2020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28.</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Приказ министерства социального развития, опеки и попечительства Иркутской области от 14.01.2020 N 53-6/20-мпр</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"Об утверждении тарифов на социальные услуги на 2020 год, предоставляемые в стационарной форме социального обслуживания, и корректирующего коэффициента, применяемого к тарифам"</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 xml:space="preserve">Утверждены тарифы на 2020 год на социальные услуги, предоставляемые в стационарной форме социального обслуживания гражданам пожилого возраста (женщинам старше 55 лет, мужчинам старше 60 лет), инвалидам, детям-инвалидам, в том числе из числа детей-сирот и детей, оставшихся без попечения родителей, частично или полностью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на социальные услуги, предоставляемые в стационарной форме социального обслуживания (в условиях реабилитационного центра для детей и подростков) несовершеннолетним гражданам, частично или полностью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сопровождающим их лицам (социально-бытовые услуги); на социальные услуги, предоставляемые в стационарной форме социального обслуживания (в условиях областного государственного автономного учреждения социального обслуживания "Реабилитационный центр "Шелеховский"); на социальные услуги, предоставляемые в стационарной форме социального обслуживания (в условиях отделений временного пребывания, отделений социальной адаптации организаций социального обслуживания, негосударственных поставщиков социальных услуг) гражданам, не имеющим определенного места жительства, частично или полностью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При этом для поставщиков социальных услуг, включенных в реестр поставщиков социальных </w:t>
            </w:r>
            <w:r w:rsidRPr="001236CD">
              <w:rPr>
                <w:rFonts w:ascii="Times New Roman" w:hAnsi="Times New Roman"/>
                <w:bCs/>
              </w:rPr>
              <w:lastRenderedPageBreak/>
              <w:t>услуг Иркутской области по состоянию на 1 января 2020 года, корректирующий коэффициент, учитывающий расходы поставщика социальных услуг на коммунальные услуги и на содержание недвижимого имущества, установлен в размере 1.</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Официальный интернет-портал правовой информации http://www.pravo.gov.ru, 15.01.2020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29.</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Приказ Службы по тарифам Иркутской области от 27.12.2019 N 445-спр</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"Об установлении тарифов на электрическую энергию для населения и приравненных к нему категорий потребителей по Иркутской области на 2020 год"</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С 1 января по 31 декабря 2020 года утверждены тарифы на электрическую энергию для населения и приравненных к нему категорий потребителей по Иркутской области с календарной разбивкой. Уточнено, что интервалы тарифных зон суток (по месяцам календарного года) устанавливаются Федеральной антимонопольной службой. Кроме того, утверждены балансовые показатели планового объема полезного отпуска электрической энергии, используемые при расчете тарифов на электрическую энергию для населения и приравненных к нему категорий потребителей по Иркутской области, на период с 1 января по 30 июня 2020 года и с 1 июля по 31 декабря 2020 года.</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Признан утратившим силу приказ службы по тарифам Иркутской области от 27 декабря 2018 года N 533-спр "Об установлении тарифов на электрическую энергию для населения и приравненных к нему категорий потребителей по Иркутской области на 2019 год".</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30.12.2019,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"Областная", N 5, 20.01.2020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Приказ министерства социального развития, опеки и попечительства Иркутской области от 14.01.2020 N 53-2/20-мпр</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"Об утверждении величины подушевых нормативов финансирования социальных услуг на 2020 год, предоставляемых в форме социального обслуживания на дому"</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Приказом утверждены величины подушевых нормативов финансирования социального обслуживания частично либо полностью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гражданам в возрасте старше 18 лет, несовершеннолетним детям, родителям (законным представителям), воспитывающим ребенка-инвалида или детей-инвалидов, нуждающихся в постоянном постороннем уходе, или ребенка и детей, испытывающих трудности в социальной адаптации, и инвалидам в возрасте старше 18 лет, имеющим степень выраженности ограничений жизнедеятельности. Нормативы утверждены за разовое оказание социальной услуги по видам услуг для одного обслуживаемого с учетом территориальной расположенности организации - в южных районах Иркутской области и в районах Крайнего Севера и приравненных к ним местностях.</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15.01.2020</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Приказ Службы ветеринарии Иркутской области от 26.12.2019 N 68-спр</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"Об утверждении Порядка осуществления деятельности по обращению с животными без владельцев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 xml:space="preserve">Порядком установлено, что деятельность по обращению с животными без владельцев включает следующие мероприятия: отлов животных без владельцев, в том числе их транспортировка и немедленная передача в приют для животных; клинический осмотр животных без владельцев, поступивших в приют; оказание неотложной ветеринарной помощи и лечение животных без владельцев (при необходимости); возврат потерявшихся животных их владельцам, а также поиск новых владельцев поступившим в приюты животным без владельцев; содержание животных без владельцев в приюте на карантине; маркирование животных без владельцев визуальными неснимаемыми и несмываемыми метками; вакцинация против бешенства и иных заболеваний, опасных для человека и животных; стерилизация в целях снижения численности животных без владельцев путем </w:t>
            </w:r>
            <w:r w:rsidRPr="001236CD">
              <w:rPr>
                <w:rFonts w:ascii="Times New Roman" w:hAnsi="Times New Roman"/>
                <w:bCs/>
              </w:rPr>
              <w:lastRenderedPageBreak/>
              <w:t>предотвращения появления у них нежелательного потомства, а также улучшения эпизоотической и эпидемической обстановки; возврат на прежние места обитания вакцинированных, маркированных и стерилизованных животных, не проявляющих немотивированной агрессивности; учет отловленных животных без владельцев; умерщвление (эвтаназия) животных без владельцев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ежедневное содержание животных без владельцев, включающее кормление, выгул, чистку и дезинфекцию вольеров и клеток, посуды для животных, подсобных помещений и инвентаря; содержание животных без владельцев в приюте,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При этом закреплено, что животные без владельцев подлежат отлову безопасными способами и гуманными методами с применением разрешенных и сертифицированных для данных целей приспособлений, препаратов и материалов, исключающими возможность нанесения вреда жизни и здоровью животного.</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Официальный интернет-портал правовой информации http://www.pravo.gov.ru, 30.12.2019</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32.</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Приказ министерства труда и занятости Иркутской области от 24.12.2019 N 71-мпр</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"Об утверждении Порядка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 xml:space="preserve">Порядком определено, что переобучение и повышение квалификации осуществляется по очной (дневной или вечерней), очно-заочной формам обучения, а также с применением электронного обучения, дистанционных образовательных технологий в предусмотренных законодательством формах обучения или при их сочетании и может быть курсовым (групповым) или индивидуальным; включает в себя теоретическое, практическое (производственное) обучение; должно носить интенсивный и краткосрочный характер, продолжительность которого устанавливается основными программами профессионального обучения и дополнительными профессиональными программами, средний период переобучения и повышения квалификации равен 3 месяцам; для женщин, находящихся в отпуске по уходу за ребенком в возрасте до трех лет, осуществляется однократно и должно быть завершено до его окончания; для женщин, имеющих детей дошкольного возраста, - осуществляется однократно; повторно не допускается, за исключением случаев, когда женщина в период отпуска по уходу за ребенком прошла профессиональное обучение и дополнительное профессиональное образование в рамках получения государственной услуги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и по достижении ребенком возраста трех лет (выход из отпуска по уходу за ребенком) уволена с предыдущего места работы, и на дату обращения в Учреждение не состоит в трудовых отношениях. Установлено, что переобучение и повышение квалификации женщин осуществляется в организациях, имеющих лицензию на право ведения образовательной деятельности, выданную в установленном </w:t>
            </w:r>
            <w:r w:rsidRPr="001236CD">
              <w:rPr>
                <w:rFonts w:ascii="Times New Roman" w:hAnsi="Times New Roman"/>
                <w:bCs/>
              </w:rPr>
              <w:lastRenderedPageBreak/>
              <w:t>законодательством Российской Федерации порядке, и реализующих соответствующие образовательные программы, на основании заключенных с Учреждениями договоров (государственных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Направление женщин на переобучение или повышение квалификации осуществляется: по имеющейся профессии (специальности) с целью обновления теоретических и практических знаний, повышения уровня квалификации; по новой профессии (специальности), востребованной на рынке труда Иркутской области, для осуществления трудовой деятельности по вновь полученной профессии или организации самозанятости, предпринимательской деятельности.</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Официальный интернет-портал правовой информации http://www.pravo.gov.ru, 24.12.2019</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33.</w:t>
            </w:r>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Приказ Службы ветеринарии Иркутской области от 28.12.2019 N 69-спр</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"Об утверждении Порядка организации деятельности приютов для животных и норм содержания животных в них"</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Порядком определено, что владельцы приютов и уполномоченные ими лица должны обеспечить предоставление животных по требованию должностных лиц органов государственного надзора в области обращения с животными при проведении ими проверок. Правила поведения посетителей приюта и волонтеров, а также приема безвозмездной помощи от посетителей приюта размещаются на стендах при входе в приют. Добровольцы (волонтеры) в целях защиты животных и владельцы животных в целях поиска потерявшихся животных имеют право посещать приюты независимо от формы собственности приюта в соответствии с правилами, установленными приютом, в часы, установленные режимом работы приютов, за исключением дней, когда проводится санитарная обработка или дезинфекция помещений. Установлены требования к размещению приюта и обустройству помещений в них. В частности, указано, что приюты размещаются в отдельно стоящих и специально предназначенных для содержания животных зданиях, строениях, сооружениях. Не допускается размещение приютов в жилых домах и квартирах. Помещения приюта должны быть оборудованы централизованными, децентрализованными или иными системами водоснабжения (с подачей холодной и горячей воды) и водоотведения, канализации, электротеплоснабжения, наружного освещения и вентиляции (естественной, принудительной). Определены порядок поступления животных в приют, требования к помещениям для временного содержания животных, требования к помещениям для длительного содержания животных, требования к ветеринарному блоку, требования к выгулу, кормлению и поению животных.</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Официальный интернет-портал правовой информации http://www.pravo.gov.ru, 30.12.2019</w:t>
            </w:r>
          </w:p>
        </w:tc>
      </w:tr>
      <w:tr w:rsidR="001236CD" w:rsidRPr="001236CD" w:rsidTr="001236CD">
        <w:trPr>
          <w:trHeight w:val="77"/>
        </w:trPr>
        <w:tc>
          <w:tcPr>
            <w:tcW w:w="562"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w:t>
            </w:r>
            <w:bookmarkStart w:id="0" w:name="_GoBack"/>
            <w:bookmarkEnd w:id="0"/>
          </w:p>
        </w:tc>
        <w:tc>
          <w:tcPr>
            <w:tcW w:w="3374" w:type="dxa"/>
            <w:gridSpan w:val="2"/>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Приказ Службы по тарифам Иркутской области от 27.12.2019 N 451-спр</w:t>
            </w:r>
          </w:p>
          <w:p w:rsidR="001236CD" w:rsidRPr="001236CD" w:rsidRDefault="001236CD" w:rsidP="001236CD">
            <w:pPr>
              <w:autoSpaceDE w:val="0"/>
              <w:autoSpaceDN w:val="0"/>
              <w:adjustRightInd w:val="0"/>
              <w:jc w:val="both"/>
              <w:rPr>
                <w:rFonts w:ascii="Times New Roman" w:hAnsi="Times New Roman"/>
                <w:sz w:val="24"/>
                <w:szCs w:val="24"/>
              </w:rPr>
            </w:pPr>
            <w:r w:rsidRPr="001236CD">
              <w:rPr>
                <w:rFonts w:ascii="Times New Roman" w:hAnsi="Times New Roman"/>
                <w:sz w:val="24"/>
                <w:szCs w:val="24"/>
              </w:rPr>
              <w:tab/>
              <w:t xml:space="preserve">"Об установлении единых (котловых) тарифов на услуги по передаче электрической энергии на </w:t>
            </w:r>
            <w:r w:rsidRPr="001236CD">
              <w:rPr>
                <w:rFonts w:ascii="Times New Roman" w:hAnsi="Times New Roman"/>
                <w:sz w:val="24"/>
                <w:szCs w:val="24"/>
              </w:rPr>
              <w:lastRenderedPageBreak/>
              <w:t>территории Иркутской области на 2020 год"</w:t>
            </w:r>
          </w:p>
        </w:tc>
        <w:tc>
          <w:tcPr>
            <w:tcW w:w="8079"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lastRenderedPageBreak/>
              <w:t>Тарифы установлены с календарной разбивкой для прочих потребителей, населения и приравненным к нему категориям. В частности, для населения и приравненных к нему категорий потребителей (в пределах социальной нормы потребления электроэнергии) на первое полугодие 2020 года тариф утвержден в размере 0,46096 руб./кВт.ч.</w:t>
            </w:r>
          </w:p>
          <w:p w:rsidR="001236CD" w:rsidRPr="001236CD" w:rsidRDefault="001236CD" w:rsidP="001236CD">
            <w:pPr>
              <w:autoSpaceDE w:val="0"/>
              <w:autoSpaceDN w:val="0"/>
              <w:adjustRightInd w:val="0"/>
              <w:jc w:val="both"/>
              <w:rPr>
                <w:rFonts w:ascii="Times New Roman" w:hAnsi="Times New Roman"/>
                <w:bCs/>
              </w:rPr>
            </w:pPr>
            <w:r w:rsidRPr="001236CD">
              <w:rPr>
                <w:rFonts w:ascii="Times New Roman" w:hAnsi="Times New Roman"/>
                <w:bCs/>
              </w:rPr>
              <w:t xml:space="preserve">Признан утратившим силу приказ службы по тарифам Иркутской области от 29 ноября 2019 года N 325-спр "Об установлении единых (котловых) тарифов на </w:t>
            </w:r>
            <w:r w:rsidRPr="001236CD">
              <w:rPr>
                <w:rFonts w:ascii="Times New Roman" w:hAnsi="Times New Roman"/>
                <w:bCs/>
              </w:rPr>
              <w:lastRenderedPageBreak/>
              <w:t>услуги по передаче электрической энергии на территории Иркутской области на 2019 год".</w:t>
            </w:r>
          </w:p>
        </w:tc>
        <w:tc>
          <w:tcPr>
            <w:tcW w:w="3261" w:type="dxa"/>
            <w:tcBorders>
              <w:top w:val="single" w:sz="4" w:space="0" w:color="auto"/>
              <w:left w:val="single" w:sz="4" w:space="0" w:color="auto"/>
              <w:bottom w:val="single" w:sz="4" w:space="0" w:color="auto"/>
              <w:right w:val="single" w:sz="4" w:space="0" w:color="auto"/>
            </w:tcBorders>
          </w:tcPr>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Официальный интернет-портал правовой информации http://www.pravo.gov.ru, 30.12.2019,</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t>"Областная", N 2, 13.01.2020,</w:t>
            </w:r>
          </w:p>
          <w:p w:rsidR="001236CD" w:rsidRPr="001236CD" w:rsidRDefault="001236CD" w:rsidP="001236CD">
            <w:pPr>
              <w:autoSpaceDE w:val="0"/>
              <w:autoSpaceDN w:val="0"/>
              <w:adjustRightInd w:val="0"/>
              <w:rPr>
                <w:rFonts w:ascii="Times New Roman" w:hAnsi="Times New Roman"/>
                <w:bCs/>
                <w:sz w:val="24"/>
                <w:szCs w:val="24"/>
              </w:rPr>
            </w:pPr>
            <w:r w:rsidRPr="001236CD">
              <w:rPr>
                <w:rFonts w:ascii="Times New Roman" w:hAnsi="Times New Roman"/>
                <w:bCs/>
                <w:sz w:val="24"/>
                <w:szCs w:val="24"/>
              </w:rPr>
              <w:lastRenderedPageBreak/>
              <w:t>Официальный интернет-портал правовой информации Иркутской области http://www.ogirk.ru, 13.01.2020</w:t>
            </w:r>
          </w:p>
        </w:tc>
      </w:tr>
    </w:tbl>
    <w:p w:rsidR="001236CD" w:rsidRPr="001236CD" w:rsidRDefault="001236CD" w:rsidP="001236CD">
      <w:pPr>
        <w:spacing w:after="200" w:line="276" w:lineRule="auto"/>
        <w:rPr>
          <w:rFonts w:ascii="Calibri" w:eastAsia="Calibri" w:hAnsi="Calibri" w:cs="Times New Roman"/>
          <w:sz w:val="24"/>
          <w:szCs w:val="24"/>
        </w:rPr>
      </w:pPr>
    </w:p>
    <w:p w:rsidR="00DC5932" w:rsidRDefault="00DC5932"/>
    <w:sectPr w:rsidR="00DC5932"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DF4" w:rsidRDefault="00BF7DF4" w:rsidP="001236CD">
      <w:pPr>
        <w:spacing w:after="0" w:line="240" w:lineRule="auto"/>
      </w:pPr>
      <w:r>
        <w:separator/>
      </w:r>
    </w:p>
  </w:endnote>
  <w:endnote w:type="continuationSeparator" w:id="0">
    <w:p w:rsidR="00BF7DF4" w:rsidRDefault="00BF7DF4" w:rsidP="0012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DF4" w:rsidRDefault="00BF7DF4" w:rsidP="001236CD">
      <w:pPr>
        <w:spacing w:after="0" w:line="240" w:lineRule="auto"/>
      </w:pPr>
      <w:r>
        <w:separator/>
      </w:r>
    </w:p>
  </w:footnote>
  <w:footnote w:type="continuationSeparator" w:id="0">
    <w:p w:rsidR="00BF7DF4" w:rsidRDefault="00BF7DF4" w:rsidP="001236CD">
      <w:pPr>
        <w:spacing w:after="0" w:line="240" w:lineRule="auto"/>
      </w:pPr>
      <w:r>
        <w:continuationSeparator/>
      </w:r>
    </w:p>
  </w:footnote>
  <w:footnote w:id="1">
    <w:p w:rsidR="001236CD" w:rsidRDefault="001236CD" w:rsidP="001236CD">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754A1"/>
    <w:multiLevelType w:val="hybridMultilevel"/>
    <w:tmpl w:val="E15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2B06C4"/>
    <w:multiLevelType w:val="hybridMultilevel"/>
    <w:tmpl w:val="96803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CD"/>
    <w:rsid w:val="001236CD"/>
    <w:rsid w:val="00BF7DF4"/>
    <w:rsid w:val="00DC5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56FF7-033C-45C5-BA13-36906CFD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236C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236CD"/>
    <w:rPr>
      <w:rFonts w:ascii="Times New Roman" w:eastAsia="Times New Roman" w:hAnsi="Times New Roman" w:cs="Times New Roman"/>
      <w:sz w:val="20"/>
      <w:szCs w:val="20"/>
      <w:lang w:eastAsia="ru-RU"/>
    </w:rPr>
  </w:style>
  <w:style w:type="character" w:styleId="a5">
    <w:name w:val="footnote reference"/>
    <w:basedOn w:val="a0"/>
    <w:semiHidden/>
    <w:unhideWhenUsed/>
    <w:rsid w:val="001236CD"/>
    <w:rPr>
      <w:vertAlign w:val="superscript"/>
    </w:rPr>
  </w:style>
  <w:style w:type="table" w:styleId="a6">
    <w:name w:val="Table Grid"/>
    <w:basedOn w:val="a1"/>
    <w:uiPriority w:val="59"/>
    <w:rsid w:val="001236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23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13172</Words>
  <Characters>75087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Гапанцова Анна Сергеевна</dc:creator>
  <cp:keywords/>
  <dc:description/>
  <cp:lastModifiedBy>Гапанцова Анна Сергеевна</cp:lastModifiedBy>
  <cp:revision>1</cp:revision>
  <dcterms:created xsi:type="dcterms:W3CDTF">2020-02-18T04:07:00Z</dcterms:created>
  <dcterms:modified xsi:type="dcterms:W3CDTF">2020-02-18T04:16:00Z</dcterms:modified>
</cp:coreProperties>
</file>