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61FC" w14:textId="77777777" w:rsidR="00386A42" w:rsidRDefault="00386A42" w:rsidP="00386A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распоряжению</w:t>
      </w:r>
      <w:r w:rsidRPr="00AA2A6B">
        <w:rPr>
          <w:sz w:val="28"/>
          <w:szCs w:val="28"/>
        </w:rPr>
        <w:t xml:space="preserve"> </w:t>
      </w:r>
    </w:p>
    <w:p w14:paraId="1E1DFDFB" w14:textId="77777777" w:rsidR="00386A42" w:rsidRDefault="00386A42" w:rsidP="00386A42">
      <w:pPr>
        <w:jc w:val="right"/>
        <w:rPr>
          <w:sz w:val="28"/>
          <w:szCs w:val="28"/>
        </w:rPr>
      </w:pPr>
      <w:r w:rsidRPr="00AA2A6B">
        <w:rPr>
          <w:sz w:val="28"/>
          <w:szCs w:val="28"/>
        </w:rPr>
        <w:t xml:space="preserve">Администрации Шелеховского муниципального района </w:t>
      </w:r>
    </w:p>
    <w:p w14:paraId="7FA53C5A" w14:textId="77777777" w:rsidR="00386A42" w:rsidRDefault="00386A42" w:rsidP="00386A42">
      <w:pPr>
        <w:jc w:val="right"/>
        <w:rPr>
          <w:sz w:val="24"/>
          <w:szCs w:val="24"/>
        </w:rPr>
      </w:pPr>
      <w:r w:rsidRPr="00AA2A6B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31.03.2020 № 39-ра</w:t>
      </w:r>
      <w:r w:rsidRPr="00027617">
        <w:rPr>
          <w:sz w:val="24"/>
          <w:szCs w:val="24"/>
        </w:rPr>
        <w:t xml:space="preserve"> </w:t>
      </w:r>
    </w:p>
    <w:p w14:paraId="0109556A" w14:textId="77777777" w:rsidR="00386A42" w:rsidRDefault="00386A42" w:rsidP="00386A42">
      <w:pPr>
        <w:jc w:val="right"/>
        <w:rPr>
          <w:sz w:val="28"/>
          <w:szCs w:val="28"/>
        </w:rPr>
      </w:pPr>
    </w:p>
    <w:p w14:paraId="5E1E7BC7" w14:textId="77777777" w:rsidR="00386A42" w:rsidRPr="00A95979" w:rsidRDefault="00386A42" w:rsidP="00386A42">
      <w:pPr>
        <w:jc w:val="right"/>
        <w:rPr>
          <w:sz w:val="28"/>
          <w:szCs w:val="28"/>
        </w:rPr>
      </w:pPr>
    </w:p>
    <w:p w14:paraId="527F6AF1" w14:textId="77777777" w:rsidR="00386A42" w:rsidRDefault="00386A42" w:rsidP="00386A42">
      <w:pPr>
        <w:jc w:val="center"/>
        <w:outlineLvl w:val="0"/>
        <w:rPr>
          <w:sz w:val="28"/>
          <w:szCs w:val="28"/>
        </w:rPr>
      </w:pPr>
      <w:r w:rsidRPr="00277DA1">
        <w:rPr>
          <w:sz w:val="28"/>
          <w:szCs w:val="28"/>
        </w:rPr>
        <w:t>План мероприятий («дорожная карта»)</w:t>
      </w:r>
      <w:r>
        <w:rPr>
          <w:sz w:val="28"/>
          <w:szCs w:val="28"/>
        </w:rPr>
        <w:t xml:space="preserve"> </w:t>
      </w:r>
    </w:p>
    <w:p w14:paraId="7D368932" w14:textId="77777777" w:rsidR="00386A42" w:rsidRDefault="00386A42" w:rsidP="00386A42">
      <w:pPr>
        <w:jc w:val="center"/>
        <w:rPr>
          <w:sz w:val="28"/>
          <w:szCs w:val="28"/>
        </w:rPr>
      </w:pPr>
      <w:r w:rsidRPr="00277DA1">
        <w:rPr>
          <w:sz w:val="28"/>
          <w:szCs w:val="28"/>
        </w:rPr>
        <w:t xml:space="preserve">по содействию развитию конкуренции на территории Шелеховского района </w:t>
      </w:r>
      <w:r>
        <w:rPr>
          <w:sz w:val="28"/>
          <w:szCs w:val="28"/>
        </w:rPr>
        <w:t xml:space="preserve">до </w:t>
      </w:r>
      <w:r w:rsidRPr="00277DA1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</w:p>
    <w:p w14:paraId="303A47B7" w14:textId="77777777" w:rsidR="00386A42" w:rsidRDefault="00386A42" w:rsidP="00386A42">
      <w:pPr>
        <w:jc w:val="center"/>
        <w:rPr>
          <w:sz w:val="28"/>
          <w:szCs w:val="28"/>
        </w:rPr>
      </w:pPr>
      <w:r w:rsidRPr="00AF6EF1">
        <w:rPr>
          <w:sz w:val="24"/>
          <w:szCs w:val="24"/>
        </w:rPr>
        <w:t>(в ред. распоряжения Администрации Шелеховского муниципального района от 08.09.2021 № 135-ра)</w:t>
      </w:r>
    </w:p>
    <w:p w14:paraId="46DDF765" w14:textId="77777777" w:rsidR="00386A42" w:rsidRPr="00277DA1" w:rsidRDefault="00386A42" w:rsidP="00386A42">
      <w:pPr>
        <w:jc w:val="center"/>
        <w:outlineLvl w:val="0"/>
        <w:rPr>
          <w:sz w:val="28"/>
          <w:szCs w:val="28"/>
        </w:rPr>
      </w:pPr>
    </w:p>
    <w:p w14:paraId="4C68B535" w14:textId="77777777" w:rsidR="00386A42" w:rsidRPr="00A95979" w:rsidRDefault="00386A42" w:rsidP="00386A42">
      <w:pPr>
        <w:jc w:val="center"/>
        <w:rPr>
          <w:sz w:val="22"/>
          <w:szCs w:val="22"/>
        </w:rPr>
      </w:pPr>
    </w:p>
    <w:tbl>
      <w:tblPr>
        <w:tblW w:w="525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015"/>
        <w:gridCol w:w="1376"/>
        <w:gridCol w:w="3593"/>
        <w:gridCol w:w="1238"/>
        <w:gridCol w:w="1257"/>
        <w:gridCol w:w="1107"/>
        <w:gridCol w:w="15"/>
        <w:gridCol w:w="1085"/>
        <w:gridCol w:w="21"/>
        <w:gridCol w:w="1902"/>
      </w:tblGrid>
      <w:tr w:rsidR="00386A42" w:rsidRPr="00414BAF" w14:paraId="644442F2" w14:textId="77777777" w:rsidTr="00096F07">
        <w:trPr>
          <w:trHeight w:val="20"/>
        </w:trPr>
        <w:tc>
          <w:tcPr>
            <w:tcW w:w="222" w:type="pct"/>
            <w:vMerge w:val="restart"/>
            <w:shd w:val="clear" w:color="auto" w:fill="D9D9D9" w:themeFill="background1" w:themeFillShade="D9"/>
          </w:tcPr>
          <w:p w14:paraId="67FC9216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86" w:type="pct"/>
            <w:vMerge w:val="restart"/>
            <w:shd w:val="clear" w:color="auto" w:fill="D9D9D9" w:themeFill="background1" w:themeFillShade="D9"/>
          </w:tcPr>
          <w:p w14:paraId="5F7D3C0B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" w:type="pct"/>
            <w:vMerge w:val="restart"/>
            <w:shd w:val="clear" w:color="auto" w:fill="D9D9D9" w:themeFill="background1" w:themeFillShade="D9"/>
          </w:tcPr>
          <w:p w14:paraId="62755AF8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75" w:type="pct"/>
            <w:vMerge w:val="restart"/>
            <w:shd w:val="clear" w:color="auto" w:fill="D9D9D9" w:themeFill="background1" w:themeFillShade="D9"/>
          </w:tcPr>
          <w:p w14:paraId="4B2FC84A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показателя,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1545" w:type="pct"/>
            <w:gridSpan w:val="6"/>
            <w:shd w:val="clear" w:color="auto" w:fill="D9D9D9" w:themeFill="background1" w:themeFillShade="D9"/>
          </w:tcPr>
          <w:p w14:paraId="0323A3D1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14:paraId="09502FBE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386A42" w:rsidRPr="00414BAF" w14:paraId="2719BAD7" w14:textId="77777777" w:rsidTr="00096F07">
        <w:trPr>
          <w:trHeight w:val="20"/>
          <w:tblHeader/>
        </w:trPr>
        <w:tc>
          <w:tcPr>
            <w:tcW w:w="222" w:type="pct"/>
            <w:vMerge/>
            <w:shd w:val="clear" w:color="auto" w:fill="D9D9D9" w:themeFill="background1" w:themeFillShade="D9"/>
          </w:tcPr>
          <w:p w14:paraId="29C93438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D9D9D9" w:themeFill="background1" w:themeFillShade="D9"/>
          </w:tcPr>
          <w:p w14:paraId="26E50BA2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D9D9D9" w:themeFill="background1" w:themeFillShade="D9"/>
          </w:tcPr>
          <w:p w14:paraId="3BFBFDAC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D9D9D9" w:themeFill="background1" w:themeFillShade="D9"/>
          </w:tcPr>
          <w:p w14:paraId="4D3F95B0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1B5E517D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0C68E601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367" w:type="pct"/>
            <w:gridSpan w:val="2"/>
            <w:shd w:val="clear" w:color="auto" w:fill="D9D9D9" w:themeFill="background1" w:themeFillShade="D9"/>
          </w:tcPr>
          <w:p w14:paraId="2F4C73AE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362" w:type="pct"/>
            <w:gridSpan w:val="2"/>
            <w:shd w:val="clear" w:color="auto" w:fill="D9D9D9" w:themeFill="background1" w:themeFillShade="D9"/>
          </w:tcPr>
          <w:p w14:paraId="22FEA059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14:paraId="1D5A2A69" w14:textId="77777777" w:rsidR="00386A42" w:rsidRPr="00414BAF" w:rsidRDefault="00386A42" w:rsidP="00096F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42" w:rsidRPr="00414BAF" w14:paraId="1C2974A6" w14:textId="77777777" w:rsidTr="00096F07">
        <w:trPr>
          <w:trHeight w:val="20"/>
        </w:trPr>
        <w:tc>
          <w:tcPr>
            <w:tcW w:w="5000" w:type="pct"/>
            <w:gridSpan w:val="11"/>
          </w:tcPr>
          <w:p w14:paraId="21218287" w14:textId="77777777" w:rsidR="00386A42" w:rsidRPr="00414BAF" w:rsidRDefault="00386A42" w:rsidP="00096F07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План мероприятий по развитию конкуренции на товарных рынках, </w:t>
            </w:r>
          </w:p>
          <w:p w14:paraId="1D994645" w14:textId="77777777" w:rsidR="00386A42" w:rsidRPr="00414BAF" w:rsidRDefault="00386A42" w:rsidP="00096F07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386A42" w:rsidRPr="00414BAF" w14:paraId="7C39E3D8" w14:textId="77777777" w:rsidTr="00096F07">
        <w:trPr>
          <w:trHeight w:val="145"/>
        </w:trPr>
        <w:tc>
          <w:tcPr>
            <w:tcW w:w="222" w:type="pct"/>
            <w:vMerge w:val="restart"/>
          </w:tcPr>
          <w:p w14:paraId="7D6CC4E4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78" w:type="pct"/>
            <w:gridSpan w:val="10"/>
          </w:tcPr>
          <w:p w14:paraId="50CA4EB2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386A42" w:rsidRPr="00414BAF" w14:paraId="051D05FF" w14:textId="77777777" w:rsidTr="00096F07">
        <w:trPr>
          <w:trHeight w:val="20"/>
        </w:trPr>
        <w:tc>
          <w:tcPr>
            <w:tcW w:w="222" w:type="pct"/>
            <w:vMerge/>
          </w:tcPr>
          <w:p w14:paraId="53E6C5DC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14:paraId="57417471" w14:textId="77777777" w:rsidR="00386A42" w:rsidRPr="00414BAF" w:rsidRDefault="00386A42" w:rsidP="00096F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01.01.2020 предоставление дошкольного образования в Шелеховском районе осуществляется 16 муниципальными дошкольными образовательными учреждениями. Показатель доступности дошкольного образования для детей в возрасте от 2 месяцев до 7 лет составляет 60%, в возрастной группе от 2 месяцев до трех лет – 11 %, в возрастной группе от 3 лет до 7 лет – 100%.</w:t>
            </w:r>
          </w:p>
        </w:tc>
      </w:tr>
      <w:tr w:rsidR="00386A42" w:rsidRPr="00414BAF" w14:paraId="6354D323" w14:textId="77777777" w:rsidTr="00096F07">
        <w:trPr>
          <w:trHeight w:val="20"/>
        </w:trPr>
        <w:tc>
          <w:tcPr>
            <w:tcW w:w="222" w:type="pct"/>
            <w:vMerge/>
          </w:tcPr>
          <w:p w14:paraId="457BAD2D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14:paraId="34AF7143" w14:textId="77777777" w:rsidR="00386A42" w:rsidRPr="00414BAF" w:rsidRDefault="00386A42" w:rsidP="00096F07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Ключевой целевой показатель эффективности: </w:t>
            </w:r>
          </w:p>
          <w:p w14:paraId="4998EFFB" w14:textId="77777777" w:rsidR="00386A42" w:rsidRPr="00414BAF" w:rsidRDefault="00386A42" w:rsidP="00096F07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%</w:t>
            </w:r>
          </w:p>
        </w:tc>
        <w:tc>
          <w:tcPr>
            <w:tcW w:w="405" w:type="pct"/>
          </w:tcPr>
          <w:p w14:paraId="0B3B4575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7BE441BD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7EBADE40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61ED4159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65F0D629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6559EE9E" w14:textId="77777777" w:rsidTr="00096F07">
        <w:trPr>
          <w:trHeight w:val="20"/>
        </w:trPr>
        <w:tc>
          <w:tcPr>
            <w:tcW w:w="222" w:type="pct"/>
          </w:tcPr>
          <w:p w14:paraId="4834C34D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611" w:type="pct"/>
            <w:gridSpan w:val="3"/>
          </w:tcPr>
          <w:p w14:paraId="2B3535CB" w14:textId="77777777" w:rsidR="00386A42" w:rsidRPr="00414BAF" w:rsidRDefault="00386A42" w:rsidP="00096F07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Целевой показатель эффективности:</w:t>
            </w:r>
            <w:r w:rsidRPr="00414BAF">
              <w:rPr>
                <w:sz w:val="24"/>
                <w:szCs w:val="24"/>
              </w:rPr>
              <w:t xml:space="preserve"> </w:t>
            </w:r>
          </w:p>
          <w:p w14:paraId="335D77E6" w14:textId="77777777" w:rsidR="00386A42" w:rsidRPr="00414BAF" w:rsidRDefault="00386A42" w:rsidP="00096F07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действующих организаций (в том числе филиалов) частной формы собственности, оказывающих образовательные услуги в сфере дошкольного образования в отчетном периоде, ед.</w:t>
            </w:r>
          </w:p>
        </w:tc>
        <w:tc>
          <w:tcPr>
            <w:tcW w:w="405" w:type="pct"/>
          </w:tcPr>
          <w:p w14:paraId="23CD938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20A0E41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575AA4C9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4B70A4D6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3B707C36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7DC0C5DA" w14:textId="77777777" w:rsidTr="00096F07">
        <w:trPr>
          <w:trHeight w:val="20"/>
        </w:trPr>
        <w:tc>
          <w:tcPr>
            <w:tcW w:w="222" w:type="pct"/>
          </w:tcPr>
          <w:p w14:paraId="46241CC8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11" w:type="pct"/>
            <w:gridSpan w:val="3"/>
          </w:tcPr>
          <w:p w14:paraId="72710862" w14:textId="77777777" w:rsidR="00386A42" w:rsidRPr="00414BAF" w:rsidRDefault="00386A42" w:rsidP="00096F07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Целевой показатель эффективности:</w:t>
            </w:r>
            <w:r w:rsidRPr="00414BAF">
              <w:rPr>
                <w:sz w:val="24"/>
                <w:szCs w:val="24"/>
              </w:rPr>
              <w:t xml:space="preserve"> </w:t>
            </w:r>
          </w:p>
          <w:p w14:paraId="755B8EBC" w14:textId="77777777" w:rsidR="00386A42" w:rsidRPr="00414BAF" w:rsidRDefault="00386A42" w:rsidP="00096F07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лицензированных частных дошкольных образовательных организаций в общей численности лицензированных дошкольных образовательных организаций, %</w:t>
            </w:r>
          </w:p>
        </w:tc>
        <w:tc>
          <w:tcPr>
            <w:tcW w:w="405" w:type="pct"/>
          </w:tcPr>
          <w:p w14:paraId="547FBB4E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434186AA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43D7EDBE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4DC85E86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1ADF25FB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77D36817" w14:textId="77777777" w:rsidTr="00096F07">
        <w:trPr>
          <w:trHeight w:val="20"/>
        </w:trPr>
        <w:tc>
          <w:tcPr>
            <w:tcW w:w="222" w:type="pct"/>
          </w:tcPr>
          <w:p w14:paraId="67733AD2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986" w:type="pct"/>
          </w:tcPr>
          <w:p w14:paraId="4AA48998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Разработка и утверждение порядка предоставления муниципальными образованиями Иркутской области родителям (законным представителям) сертификатов на получение услуг у некоммерческих организаций, оказывающих услуги по уходу и присмотру за детьми дошкольного возраста прошедшим «добровольную сертификацию»</w:t>
            </w:r>
          </w:p>
        </w:tc>
        <w:tc>
          <w:tcPr>
            <w:tcW w:w="450" w:type="pct"/>
          </w:tcPr>
          <w:p w14:paraId="253F5700" w14:textId="77777777" w:rsidR="00386A42" w:rsidRPr="00414BAF" w:rsidRDefault="00386A42" w:rsidP="00096F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 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14:paraId="09F9591F" w14:textId="77777777" w:rsidR="00386A42" w:rsidRPr="00414BAF" w:rsidRDefault="00386A42" w:rsidP="00096F07">
            <w:pPr>
              <w:adjustRightInd w:val="0"/>
              <w:rPr>
                <w:i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Разработка и принятие нормативных правовых актов органами местного самоуправления, утверждающих порядок предоставления родителям (законным представителям) сертификатов для получения услуг по уходу и присмотру за детьми дошкольного возраста в некоммерческих организациях, да/нет</w:t>
            </w:r>
          </w:p>
        </w:tc>
        <w:tc>
          <w:tcPr>
            <w:tcW w:w="405" w:type="pct"/>
          </w:tcPr>
          <w:p w14:paraId="3DDC9DA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14:paraId="5397F92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нет</w:t>
            </w:r>
          </w:p>
        </w:tc>
        <w:tc>
          <w:tcPr>
            <w:tcW w:w="362" w:type="pct"/>
          </w:tcPr>
          <w:p w14:paraId="083D90C8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gridSpan w:val="2"/>
          </w:tcPr>
          <w:p w14:paraId="3CE7ECB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29" w:type="pct"/>
            <w:gridSpan w:val="2"/>
          </w:tcPr>
          <w:p w14:paraId="287050AB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1FFD8698" w14:textId="77777777" w:rsidTr="00096F07">
        <w:trPr>
          <w:trHeight w:val="105"/>
        </w:trPr>
        <w:tc>
          <w:tcPr>
            <w:tcW w:w="5000" w:type="pct"/>
            <w:gridSpan w:val="11"/>
          </w:tcPr>
          <w:p w14:paraId="044D2E80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(строка 1.1.3. в редакции распоряжения Администрации Шелеховского муниципального района от 08.09.2021 № 135-ра)</w:t>
            </w:r>
          </w:p>
        </w:tc>
      </w:tr>
      <w:tr w:rsidR="00386A42" w:rsidRPr="00414BAF" w14:paraId="12C1D472" w14:textId="77777777" w:rsidTr="00096F07">
        <w:trPr>
          <w:trHeight w:val="20"/>
        </w:trPr>
        <w:tc>
          <w:tcPr>
            <w:tcW w:w="222" w:type="pct"/>
            <w:vMerge w:val="restart"/>
          </w:tcPr>
          <w:p w14:paraId="5C21417F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78" w:type="pct"/>
            <w:gridSpan w:val="10"/>
          </w:tcPr>
          <w:p w14:paraId="02DA7B88" w14:textId="77777777" w:rsidR="00386A42" w:rsidRPr="00414BAF" w:rsidRDefault="00386A42" w:rsidP="00096F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386A42" w:rsidRPr="00414BAF" w14:paraId="7C98541F" w14:textId="77777777" w:rsidTr="00096F07">
        <w:trPr>
          <w:trHeight w:val="20"/>
        </w:trPr>
        <w:tc>
          <w:tcPr>
            <w:tcW w:w="222" w:type="pct"/>
            <w:vMerge/>
          </w:tcPr>
          <w:p w14:paraId="30FFCA32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14:paraId="5FFCB428" w14:textId="77777777" w:rsidR="00386A42" w:rsidRPr="00414BAF" w:rsidRDefault="00386A42" w:rsidP="00096F07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Оценка текущего состояния: </w:t>
            </w:r>
            <w:r w:rsidRPr="00414BAF">
              <w:rPr>
                <w:sz w:val="24"/>
                <w:szCs w:val="24"/>
              </w:rPr>
              <w:t xml:space="preserve">Психолого-педагогическая помощь детям с ограниченными возможностями здоровья оказывается в рамках работы консультационных пунктов и соответствующих групп в 16 муниципальных дошкольных образовательных учреждениях Шелеховского района (10 групп для детей с тяжелыми нарушениями речи, 5 групп с задержкой психического развития, 1 группа с нарушением интеллекта, 1 группа с нарушениями опорно-двигательного аппарата и группа кратковременного пребывания «Особый ребенок» </w:t>
            </w:r>
            <w:r w:rsidRPr="00414BAF">
              <w:rPr>
                <w:sz w:val="24"/>
                <w:szCs w:val="24"/>
              </w:rPr>
              <w:lastRenderedPageBreak/>
              <w:t xml:space="preserve">для детей-инвалидов). </w:t>
            </w:r>
          </w:p>
        </w:tc>
      </w:tr>
      <w:tr w:rsidR="00386A42" w:rsidRPr="00414BAF" w14:paraId="5FD8DB8B" w14:textId="77777777" w:rsidTr="00096F07">
        <w:trPr>
          <w:trHeight w:val="20"/>
        </w:trPr>
        <w:tc>
          <w:tcPr>
            <w:tcW w:w="222" w:type="pct"/>
            <w:vMerge/>
          </w:tcPr>
          <w:p w14:paraId="7AE0112F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14:paraId="010035E2" w14:textId="77777777" w:rsidR="00386A42" w:rsidRPr="00414BAF" w:rsidRDefault="00386A42" w:rsidP="00096F07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14:paraId="001FD1AF" w14:textId="77777777" w:rsidR="00386A42" w:rsidRPr="00414BAF" w:rsidRDefault="00386A42" w:rsidP="00096F07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405" w:type="pct"/>
          </w:tcPr>
          <w:p w14:paraId="5FBBCAFD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42673BE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0D715E17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51335E0A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3AAB7CA0" w14:textId="77777777" w:rsidR="00386A42" w:rsidRPr="00414BAF" w:rsidRDefault="00386A42" w:rsidP="00096F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1433383C" w14:textId="77777777" w:rsidTr="00096F07">
        <w:trPr>
          <w:trHeight w:val="20"/>
        </w:trPr>
        <w:tc>
          <w:tcPr>
            <w:tcW w:w="222" w:type="pct"/>
            <w:vMerge/>
          </w:tcPr>
          <w:p w14:paraId="1D6B4009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14:paraId="36845942" w14:textId="77777777" w:rsidR="00386A42" w:rsidRPr="00414BAF" w:rsidRDefault="00386A42" w:rsidP="00096F07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14:paraId="0E611777" w14:textId="77777777" w:rsidR="00386A42" w:rsidRPr="00414BAF" w:rsidRDefault="00386A42" w:rsidP="00096F07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405" w:type="pct"/>
          </w:tcPr>
          <w:p w14:paraId="3DCDE59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1EED4532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0F844E42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61BAEB3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5ADE10B1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6664DC8A" w14:textId="77777777" w:rsidTr="00096F07">
        <w:trPr>
          <w:trHeight w:val="20"/>
        </w:trPr>
        <w:tc>
          <w:tcPr>
            <w:tcW w:w="222" w:type="pct"/>
          </w:tcPr>
          <w:p w14:paraId="0C0118C9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86" w:type="pct"/>
          </w:tcPr>
          <w:p w14:paraId="21209955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Организация обучения специалистов по вопросам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0" w:type="pct"/>
          </w:tcPr>
          <w:p w14:paraId="7AA7223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</w:tcPr>
          <w:p w14:paraId="78D7F3F0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специалистов, прошедших курсовую подготовку по вопросам психолого-педагогического сопровождения детей с ограниченными возможностями здоровья, человек.</w:t>
            </w:r>
          </w:p>
        </w:tc>
        <w:tc>
          <w:tcPr>
            <w:tcW w:w="405" w:type="pct"/>
          </w:tcPr>
          <w:p w14:paraId="0FB6304E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5B67EC6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3CE479D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2422175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4AE5A12B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386A42" w:rsidRPr="00414BAF" w14:paraId="47E74C3F" w14:textId="77777777" w:rsidTr="00096F07">
        <w:trPr>
          <w:trHeight w:val="20"/>
        </w:trPr>
        <w:tc>
          <w:tcPr>
            <w:tcW w:w="222" w:type="pct"/>
            <w:vMerge w:val="restart"/>
          </w:tcPr>
          <w:p w14:paraId="466D85E1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778" w:type="pct"/>
            <w:gridSpan w:val="10"/>
          </w:tcPr>
          <w:p w14:paraId="72B5EA38" w14:textId="77777777" w:rsidR="00386A42" w:rsidRPr="00414BAF" w:rsidRDefault="00386A42" w:rsidP="00096F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86A42" w:rsidRPr="00414BAF" w14:paraId="1591A52B" w14:textId="77777777" w:rsidTr="00096F07">
        <w:trPr>
          <w:trHeight w:val="20"/>
        </w:trPr>
        <w:tc>
          <w:tcPr>
            <w:tcW w:w="222" w:type="pct"/>
            <w:vMerge/>
          </w:tcPr>
          <w:p w14:paraId="0F64E7EE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14:paraId="2D223D2D" w14:textId="77777777" w:rsidR="00386A42" w:rsidRPr="00414BAF" w:rsidRDefault="00386A42" w:rsidP="00096F07">
            <w:pPr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Оценка текущего состояния: </w:t>
            </w:r>
            <w:r w:rsidRPr="00414BAF">
              <w:rPr>
                <w:sz w:val="24"/>
                <w:szCs w:val="24"/>
              </w:rPr>
              <w:t>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формы собственности.</w:t>
            </w:r>
          </w:p>
        </w:tc>
      </w:tr>
      <w:tr w:rsidR="00386A42" w:rsidRPr="00414BAF" w14:paraId="3EF17AC6" w14:textId="77777777" w:rsidTr="00096F07">
        <w:trPr>
          <w:trHeight w:val="20"/>
        </w:trPr>
        <w:tc>
          <w:tcPr>
            <w:tcW w:w="222" w:type="pct"/>
            <w:vMerge/>
          </w:tcPr>
          <w:p w14:paraId="0F7A107B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14:paraId="58D6F874" w14:textId="77777777" w:rsidR="00386A42" w:rsidRPr="00414BAF" w:rsidRDefault="00386A42" w:rsidP="00096F07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14:paraId="4A0655B4" w14:textId="77777777" w:rsidR="00386A42" w:rsidRPr="00414BAF" w:rsidRDefault="00386A42" w:rsidP="00096F07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405" w:type="pct"/>
          </w:tcPr>
          <w:p w14:paraId="7012B2E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14:paraId="18654F70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2" w:type="pct"/>
          </w:tcPr>
          <w:p w14:paraId="01A52C2C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0" w:type="pct"/>
            <w:gridSpan w:val="2"/>
          </w:tcPr>
          <w:p w14:paraId="389C351A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629" w:type="pct"/>
            <w:gridSpan w:val="2"/>
          </w:tcPr>
          <w:p w14:paraId="5BAE0B39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</w:p>
        </w:tc>
      </w:tr>
      <w:tr w:rsidR="00386A42" w:rsidRPr="00414BAF" w14:paraId="41AEF677" w14:textId="77777777" w:rsidTr="00096F07">
        <w:trPr>
          <w:trHeight w:val="1195"/>
        </w:trPr>
        <w:tc>
          <w:tcPr>
            <w:tcW w:w="222" w:type="pct"/>
          </w:tcPr>
          <w:p w14:paraId="50FFDB71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986" w:type="pct"/>
          </w:tcPr>
          <w:p w14:paraId="02924BE8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Оказание консультативной и методической помощи собственникам помещений </w:t>
            </w:r>
            <w:proofErr w:type="spellStart"/>
            <w:r w:rsidRPr="00414BAF">
              <w:rPr>
                <w:sz w:val="24"/>
                <w:szCs w:val="24"/>
              </w:rPr>
              <w:t>МКД</w:t>
            </w:r>
            <w:proofErr w:type="spellEnd"/>
            <w:r w:rsidRPr="00414BAF">
              <w:rPr>
                <w:sz w:val="24"/>
                <w:szCs w:val="24"/>
              </w:rPr>
              <w:t>, в отношении которых 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450" w:type="pct"/>
          </w:tcPr>
          <w:p w14:paraId="4176AC3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</w:tcPr>
          <w:p w14:paraId="00B8B464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Доля </w:t>
            </w:r>
            <w:proofErr w:type="spellStart"/>
            <w:r w:rsidRPr="00414BAF">
              <w:rPr>
                <w:sz w:val="24"/>
                <w:szCs w:val="24"/>
              </w:rPr>
              <w:t>МКД</w:t>
            </w:r>
            <w:proofErr w:type="spellEnd"/>
            <w:r w:rsidRPr="00414BAF">
              <w:rPr>
                <w:sz w:val="24"/>
                <w:szCs w:val="24"/>
              </w:rPr>
              <w:t>, в отношении которых способ управления не выбран собственниками и не определен органами местного самоуправления, %</w:t>
            </w:r>
          </w:p>
        </w:tc>
        <w:tc>
          <w:tcPr>
            <w:tcW w:w="405" w:type="pct"/>
          </w:tcPr>
          <w:p w14:paraId="48ED099D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5</w:t>
            </w:r>
          </w:p>
        </w:tc>
        <w:tc>
          <w:tcPr>
            <w:tcW w:w="411" w:type="pct"/>
          </w:tcPr>
          <w:p w14:paraId="4896A919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14:paraId="56E1F9F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  <w:gridSpan w:val="2"/>
          </w:tcPr>
          <w:p w14:paraId="363EBF4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29" w:type="pct"/>
            <w:gridSpan w:val="2"/>
          </w:tcPr>
          <w:p w14:paraId="203C3AF8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14BAF">
              <w:rPr>
                <w:sz w:val="24"/>
                <w:szCs w:val="24"/>
              </w:rPr>
              <w:t>Управление  территориального</w:t>
            </w:r>
            <w:proofErr w:type="gramEnd"/>
            <w:r w:rsidRPr="00414BAF">
              <w:rPr>
                <w:sz w:val="24"/>
                <w:szCs w:val="24"/>
              </w:rPr>
              <w:t xml:space="preserve"> развития и обустройства</w:t>
            </w:r>
          </w:p>
        </w:tc>
      </w:tr>
      <w:tr w:rsidR="00386A42" w:rsidRPr="00414BAF" w14:paraId="48497E73" w14:textId="77777777" w:rsidTr="00096F07">
        <w:trPr>
          <w:trHeight w:val="105"/>
        </w:trPr>
        <w:tc>
          <w:tcPr>
            <w:tcW w:w="5000" w:type="pct"/>
            <w:gridSpan w:val="11"/>
          </w:tcPr>
          <w:p w14:paraId="7031F9CF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(строка 1.3.1. в редакции распоряжения Администрации Шелеховского муниципального района от 08.09.2021 № 135-ра)</w:t>
            </w:r>
          </w:p>
        </w:tc>
      </w:tr>
      <w:tr w:rsidR="00386A42" w:rsidRPr="00414BAF" w14:paraId="7E816C73" w14:textId="77777777" w:rsidTr="00096F07">
        <w:trPr>
          <w:trHeight w:val="20"/>
        </w:trPr>
        <w:tc>
          <w:tcPr>
            <w:tcW w:w="222" w:type="pct"/>
            <w:vMerge w:val="restart"/>
          </w:tcPr>
          <w:p w14:paraId="4684CC2E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778" w:type="pct"/>
            <w:gridSpan w:val="10"/>
          </w:tcPr>
          <w:p w14:paraId="6F99E8B5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386A42" w:rsidRPr="00414BAF" w14:paraId="6932F4F3" w14:textId="77777777" w:rsidTr="00096F07">
        <w:trPr>
          <w:trHeight w:val="20"/>
        </w:trPr>
        <w:tc>
          <w:tcPr>
            <w:tcW w:w="222" w:type="pct"/>
            <w:vMerge/>
          </w:tcPr>
          <w:p w14:paraId="462A6BFE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14:paraId="647DBE9F" w14:textId="77777777" w:rsidR="00386A42" w:rsidRDefault="00386A42" w:rsidP="00096F07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Оценка текущего состояния: </w:t>
            </w:r>
            <w:r w:rsidRPr="00414BAF">
              <w:rPr>
                <w:sz w:val="24"/>
                <w:szCs w:val="24"/>
              </w:rPr>
              <w:t>В соответствии с Федеральным законом от 13.03.2006 № 38-ФЗ «О рекламе» установка и эксплуатация рекламных конструкций на территории Шелеховского района осуществляется на основании схем, утвержденных администрацией муниципального образования.</w:t>
            </w:r>
          </w:p>
          <w:p w14:paraId="4706C150" w14:textId="77777777" w:rsidR="00386A42" w:rsidRPr="00A271DB" w:rsidRDefault="00386A42" w:rsidP="00096F0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В Шелеховском районе за 2019 год выдано одно разрешение на установку рекламной конструкции частной организации. Дальнейшая реализация мероприятий по содействию развития конкуренции на рынке направлена на сохранение сложившегося уровня конкурентных отношений.</w:t>
            </w:r>
          </w:p>
        </w:tc>
      </w:tr>
      <w:tr w:rsidR="00386A42" w:rsidRPr="00414BAF" w14:paraId="1A02C321" w14:textId="77777777" w:rsidTr="00096F07">
        <w:trPr>
          <w:trHeight w:val="20"/>
        </w:trPr>
        <w:tc>
          <w:tcPr>
            <w:tcW w:w="222" w:type="pct"/>
            <w:vMerge/>
          </w:tcPr>
          <w:p w14:paraId="62EBF4C7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14:paraId="111A62B8" w14:textId="77777777" w:rsidR="00386A42" w:rsidRPr="00414BAF" w:rsidRDefault="00386A42" w:rsidP="00096F07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14:paraId="3C49D9F3" w14:textId="77777777" w:rsidR="00386A42" w:rsidRPr="00414BAF" w:rsidRDefault="00386A42" w:rsidP="00096F07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05" w:type="pct"/>
          </w:tcPr>
          <w:p w14:paraId="783B2673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14:paraId="103F0E8E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2" w:type="pct"/>
          </w:tcPr>
          <w:p w14:paraId="5E1E0BF7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0" w:type="pct"/>
            <w:gridSpan w:val="2"/>
          </w:tcPr>
          <w:p w14:paraId="41BDED47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629" w:type="pct"/>
            <w:gridSpan w:val="2"/>
          </w:tcPr>
          <w:p w14:paraId="2E44A1DF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14BAF">
              <w:rPr>
                <w:sz w:val="24"/>
                <w:szCs w:val="24"/>
              </w:rPr>
              <w:t>Управление  территориального</w:t>
            </w:r>
            <w:proofErr w:type="gramEnd"/>
            <w:r w:rsidRPr="00414BAF">
              <w:rPr>
                <w:sz w:val="24"/>
                <w:szCs w:val="24"/>
              </w:rPr>
              <w:t xml:space="preserve"> развития и обустройства</w:t>
            </w:r>
          </w:p>
        </w:tc>
      </w:tr>
      <w:tr w:rsidR="00386A42" w:rsidRPr="00414BAF" w14:paraId="0378E9EA" w14:textId="77777777" w:rsidTr="00096F07">
        <w:trPr>
          <w:trHeight w:val="20"/>
        </w:trPr>
        <w:tc>
          <w:tcPr>
            <w:tcW w:w="222" w:type="pct"/>
          </w:tcPr>
          <w:p w14:paraId="770477AA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986" w:type="pct"/>
          </w:tcPr>
          <w:p w14:paraId="016FBB2F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</w:t>
            </w:r>
            <w:r w:rsidRPr="00414BAF">
              <w:rPr>
                <w:sz w:val="24"/>
                <w:szCs w:val="24"/>
              </w:rPr>
              <w:lastRenderedPageBreak/>
              <w:t>собственности, а также на здании или ином недвижимом имуществе, находящихся в муниципальной собственности, принять участие в которых вправе организации частной формы собственности в сфере наружной рекламы</w:t>
            </w:r>
          </w:p>
        </w:tc>
        <w:tc>
          <w:tcPr>
            <w:tcW w:w="450" w:type="pct"/>
          </w:tcPr>
          <w:p w14:paraId="366CA875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75" w:type="pct"/>
          </w:tcPr>
          <w:p w14:paraId="018754B2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</w:t>
            </w:r>
            <w:r w:rsidRPr="00414BAF">
              <w:rPr>
                <w:sz w:val="24"/>
                <w:szCs w:val="24"/>
              </w:rPr>
              <w:lastRenderedPageBreak/>
              <w:t>муниципальной собственности в каждом муниципальном образовании, ед.</w:t>
            </w:r>
          </w:p>
        </w:tc>
        <w:tc>
          <w:tcPr>
            <w:tcW w:w="405" w:type="pct"/>
          </w:tcPr>
          <w:p w14:paraId="3FC8D47B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1" w:type="pct"/>
          </w:tcPr>
          <w:p w14:paraId="168C45C8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1E5DD975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116C222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7C66813D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14BAF">
              <w:rPr>
                <w:sz w:val="24"/>
                <w:szCs w:val="24"/>
              </w:rPr>
              <w:t>Управление  территориального</w:t>
            </w:r>
            <w:proofErr w:type="gramEnd"/>
            <w:r w:rsidRPr="00414BAF">
              <w:rPr>
                <w:sz w:val="24"/>
                <w:szCs w:val="24"/>
              </w:rPr>
              <w:t xml:space="preserve"> развития и обустройства</w:t>
            </w:r>
          </w:p>
        </w:tc>
      </w:tr>
      <w:tr w:rsidR="00386A42" w:rsidRPr="00414BAF" w14:paraId="4080AEBB" w14:textId="77777777" w:rsidTr="00096F07">
        <w:trPr>
          <w:trHeight w:val="20"/>
        </w:trPr>
        <w:tc>
          <w:tcPr>
            <w:tcW w:w="5000" w:type="pct"/>
            <w:gridSpan w:val="11"/>
          </w:tcPr>
          <w:p w14:paraId="50B26716" w14:textId="77777777" w:rsidR="00386A42" w:rsidRPr="00414BAF" w:rsidRDefault="00386A42" w:rsidP="00096F07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План мероприятий по развитию конкуренции на товарных рынках, установленных в дополнение</w:t>
            </w:r>
          </w:p>
          <w:p w14:paraId="67298FDB" w14:textId="77777777" w:rsidR="00386A42" w:rsidRPr="00414BAF" w:rsidRDefault="00386A42" w:rsidP="00096F07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386A42" w:rsidRPr="00414BAF" w14:paraId="397E4FCC" w14:textId="77777777" w:rsidTr="00096F07">
        <w:trPr>
          <w:trHeight w:val="20"/>
        </w:trPr>
        <w:tc>
          <w:tcPr>
            <w:tcW w:w="222" w:type="pct"/>
            <w:vMerge w:val="restart"/>
          </w:tcPr>
          <w:p w14:paraId="23BC2489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778" w:type="pct"/>
            <w:gridSpan w:val="10"/>
          </w:tcPr>
          <w:p w14:paraId="03D2652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Сфера розничной торговли</w:t>
            </w:r>
          </w:p>
        </w:tc>
      </w:tr>
      <w:tr w:rsidR="00386A42" w:rsidRPr="00414BAF" w14:paraId="2F262280" w14:textId="77777777" w:rsidTr="00096F07">
        <w:trPr>
          <w:trHeight w:val="20"/>
        </w:trPr>
        <w:tc>
          <w:tcPr>
            <w:tcW w:w="222" w:type="pct"/>
            <w:vMerge/>
          </w:tcPr>
          <w:p w14:paraId="3DC8106A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14:paraId="3F2A7B0A" w14:textId="77777777" w:rsidR="00386A42" w:rsidRPr="00414BAF" w:rsidRDefault="00386A42" w:rsidP="00096F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текущего состояния: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На 01.01.2020 в районе функционируют: 690 объектов розничной торговли, общественного питания и бытового обслуживания, включающих в себя 254 стационарных магазина, 164 единиц павильонов и киосков, 12 торговых центров общей торговой площадью 15,0 тыс. кв. м., 5 площадок с открытыми прилавками на 175 торговых мест, 85 организаций общественного питания на 2 973 посадочных места и 170 объект по оказанию бытовых услуг. </w:t>
            </w:r>
          </w:p>
          <w:p w14:paraId="5BBF01E0" w14:textId="77777777" w:rsidR="00386A42" w:rsidRPr="00414BAF" w:rsidRDefault="00386A42" w:rsidP="00096F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признаны востребованными объекты региональных сетевых ретейлеров, таких как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Слата</w:t>
            </w:r>
            <w:proofErr w:type="spell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, Хлеб. Соль, Экономия, Абсолют. В 2019 году проведены 12 сезонных ярмарок, 34 ярмарки «выходного дня», 17 праздничных и тематических ярмарок. В ярмарках приняли участие предприятия агропромышленного комплекса района, крестьянско-фермерские хозяйства, садово-огороднические кооперативы, товаропроизводители области. В летний период 2019 года с мая по сентябрь действовали на постоянной основе 6 открытых торговых площадок по продаже овощей и ягод с личных подворий, дикоросы.  Развитие ярмарочной торговли также свидетельствует о развитии конкурентной среды, поскольку обеспечивает 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возможность  крестьянско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-фермерским  хозяйствам  и  гражданам  реализовывать  населению  произведенную  ими  продукцию  без  посредников по ценам ниже среднерыночных. Все перечисленные факторы, наряду с наметившимся ростом платежеспособного спроса населения, способствовали 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усилению  положительной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 динамики  розничного  товарооборота.  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Так,  по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 данным  Территориального  органа Федеральной  службы  государственной  статистики  по  Иркутской  области  в  2019  году  оборот розничной торговли  в  Шелеховском районе увеличился  на  6,3%  по  сравнению  с  2018  годом  и  составил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547,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млн.руб. </w:t>
            </w:r>
          </w:p>
          <w:p w14:paraId="49B7E702" w14:textId="77777777" w:rsidR="00386A42" w:rsidRPr="00414BAF" w:rsidRDefault="00386A42" w:rsidP="00096F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основных в развитии торговли является показатель обеспеченности населения торговыми площадями. За 2019 год суммарный показатель по Шелеховскому району увеличился на 7,2 кв.м. и составил 720,8 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нормативе 483 кв.м. на 1 000 чел. населения.</w:t>
            </w:r>
          </w:p>
        </w:tc>
      </w:tr>
      <w:tr w:rsidR="00386A42" w:rsidRPr="00414BAF" w14:paraId="2D2883EC" w14:textId="77777777" w:rsidTr="00096F07">
        <w:trPr>
          <w:trHeight w:val="20"/>
        </w:trPr>
        <w:tc>
          <w:tcPr>
            <w:tcW w:w="222" w:type="pct"/>
            <w:vMerge/>
          </w:tcPr>
          <w:p w14:paraId="65065C1E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14:paraId="4008E003" w14:textId="77777777" w:rsidR="00386A42" w:rsidRPr="00414BAF" w:rsidRDefault="00386A42" w:rsidP="00096F07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14:paraId="2F86A942" w14:textId="77777777" w:rsidR="00386A42" w:rsidRPr="00414BAF" w:rsidRDefault="00386A42" w:rsidP="00096F07">
            <w:pPr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405" w:type="pct"/>
          </w:tcPr>
          <w:p w14:paraId="5C181E78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411" w:type="pct"/>
          </w:tcPr>
          <w:p w14:paraId="2455C51A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362" w:type="pct"/>
          </w:tcPr>
          <w:p w14:paraId="0977325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360" w:type="pct"/>
            <w:gridSpan w:val="2"/>
          </w:tcPr>
          <w:p w14:paraId="3CD205EC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629" w:type="pct"/>
            <w:gridSpan w:val="2"/>
          </w:tcPr>
          <w:p w14:paraId="603A06EC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Отдел по развитию потребительского рынка</w:t>
            </w:r>
          </w:p>
        </w:tc>
      </w:tr>
      <w:tr w:rsidR="00386A42" w:rsidRPr="00414BAF" w14:paraId="29C423FD" w14:textId="77777777" w:rsidTr="00096F07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0659B5B3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5A03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rStyle w:val="2"/>
                <w:rFonts w:eastAsia="Calibri"/>
                <w:sz w:val="24"/>
                <w:szCs w:val="24"/>
              </w:rPr>
              <w:t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F198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rStyle w:val="2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1926" w14:textId="77777777" w:rsidR="00386A42" w:rsidRPr="00414BAF" w:rsidRDefault="00386A42" w:rsidP="00096F07">
            <w:pPr>
              <w:rPr>
                <w:sz w:val="24"/>
                <w:szCs w:val="24"/>
              </w:rPr>
            </w:pPr>
            <w:r w:rsidRPr="00414BAF">
              <w:rPr>
                <w:rStyle w:val="2"/>
                <w:rFonts w:eastAsia="Calibri"/>
                <w:sz w:val="24"/>
                <w:szCs w:val="24"/>
              </w:rPr>
              <w:t xml:space="preserve">Превышение норматива минимальной обеспеченности населения площадью стационарных торговых объектов в </w:t>
            </w:r>
            <w:r w:rsidRPr="000D424F">
              <w:rPr>
                <w:rStyle w:val="2"/>
                <w:rFonts w:eastAsia="Calibri"/>
                <w:sz w:val="24"/>
                <w:szCs w:val="24"/>
              </w:rPr>
              <w:t>Шелеховском районе, %</w:t>
            </w:r>
          </w:p>
        </w:tc>
        <w:tc>
          <w:tcPr>
            <w:tcW w:w="405" w:type="pct"/>
          </w:tcPr>
          <w:p w14:paraId="3D0BCB34" w14:textId="77777777" w:rsidR="00386A42" w:rsidRPr="009621F9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9621F9">
              <w:rPr>
                <w:sz w:val="24"/>
                <w:szCs w:val="24"/>
              </w:rPr>
              <w:t>56,5</w:t>
            </w:r>
          </w:p>
        </w:tc>
        <w:tc>
          <w:tcPr>
            <w:tcW w:w="411" w:type="pct"/>
          </w:tcPr>
          <w:p w14:paraId="087F623C" w14:textId="77777777" w:rsidR="00386A42" w:rsidRPr="009621F9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9621F9">
              <w:rPr>
                <w:sz w:val="24"/>
                <w:szCs w:val="24"/>
              </w:rPr>
              <w:t>49,2</w:t>
            </w:r>
          </w:p>
        </w:tc>
        <w:tc>
          <w:tcPr>
            <w:tcW w:w="362" w:type="pct"/>
          </w:tcPr>
          <w:p w14:paraId="19E85132" w14:textId="77777777" w:rsidR="00386A42" w:rsidRPr="009621F9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9621F9">
              <w:rPr>
                <w:sz w:val="24"/>
                <w:szCs w:val="24"/>
              </w:rPr>
              <w:t>42,0</w:t>
            </w:r>
          </w:p>
        </w:tc>
        <w:tc>
          <w:tcPr>
            <w:tcW w:w="360" w:type="pct"/>
            <w:gridSpan w:val="2"/>
          </w:tcPr>
          <w:p w14:paraId="007FA3E4" w14:textId="77777777" w:rsidR="00386A42" w:rsidRPr="009621F9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9621F9">
              <w:rPr>
                <w:sz w:val="24"/>
                <w:szCs w:val="24"/>
              </w:rPr>
              <w:t>49,0</w:t>
            </w:r>
          </w:p>
        </w:tc>
        <w:tc>
          <w:tcPr>
            <w:tcW w:w="629" w:type="pct"/>
            <w:gridSpan w:val="2"/>
          </w:tcPr>
          <w:p w14:paraId="3BBF0233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Отдел по развитию потребительского рынка</w:t>
            </w:r>
          </w:p>
        </w:tc>
      </w:tr>
      <w:tr w:rsidR="00386A42" w:rsidRPr="00414BAF" w14:paraId="398B7EA2" w14:textId="77777777" w:rsidTr="00096F07">
        <w:trPr>
          <w:trHeight w:val="20"/>
        </w:trPr>
        <w:tc>
          <w:tcPr>
            <w:tcW w:w="5000" w:type="pct"/>
            <w:gridSpan w:val="11"/>
          </w:tcPr>
          <w:p w14:paraId="64A56E76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(строка 2.1.1. в редакции распоряжения Администрации Шелеховского муниципального района от 08.09.2021 № 135-ра)</w:t>
            </w:r>
          </w:p>
        </w:tc>
      </w:tr>
      <w:tr w:rsidR="00386A42" w:rsidRPr="00414BAF" w14:paraId="24AB4019" w14:textId="77777777" w:rsidTr="00096F07">
        <w:trPr>
          <w:trHeight w:val="20"/>
        </w:trPr>
        <w:tc>
          <w:tcPr>
            <w:tcW w:w="5000" w:type="pct"/>
            <w:gridSpan w:val="11"/>
          </w:tcPr>
          <w:p w14:paraId="3785D78E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386A42" w:rsidRPr="00414BAF" w14:paraId="602CEBAA" w14:textId="77777777" w:rsidTr="00096F07">
        <w:trPr>
          <w:trHeight w:val="20"/>
        </w:trPr>
        <w:tc>
          <w:tcPr>
            <w:tcW w:w="222" w:type="pct"/>
          </w:tcPr>
          <w:p w14:paraId="58C6CCEE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778" w:type="pct"/>
            <w:gridSpan w:val="10"/>
          </w:tcPr>
          <w:p w14:paraId="5DB0BC19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86A42" w:rsidRPr="00414BAF" w14:paraId="54867E2F" w14:textId="77777777" w:rsidTr="00096F07">
        <w:trPr>
          <w:trHeight w:val="20"/>
        </w:trPr>
        <w:tc>
          <w:tcPr>
            <w:tcW w:w="222" w:type="pct"/>
          </w:tcPr>
          <w:p w14:paraId="3659B7C5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055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области, предусмотренных </w:t>
            </w:r>
            <w:r w:rsidRPr="00414BAF">
              <w:rPr>
                <w:sz w:val="24"/>
                <w:szCs w:val="24"/>
              </w:rPr>
              <w:lastRenderedPageBreak/>
              <w:t>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676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E94" w14:textId="77777777" w:rsidR="00386A42" w:rsidRPr="00414BAF" w:rsidRDefault="00386A42" w:rsidP="00096F07">
            <w:pPr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405" w:type="pct"/>
          </w:tcPr>
          <w:p w14:paraId="5764B91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4E1CB131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3DC693D8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  <w:gridSpan w:val="2"/>
          </w:tcPr>
          <w:p w14:paraId="0622A6A8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</w:tcPr>
          <w:p w14:paraId="7A601EB2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по экономике</w:t>
            </w:r>
          </w:p>
        </w:tc>
      </w:tr>
      <w:tr w:rsidR="00386A42" w:rsidRPr="00414BAF" w14:paraId="74857BDC" w14:textId="77777777" w:rsidTr="00096F07">
        <w:trPr>
          <w:trHeight w:val="20"/>
        </w:trPr>
        <w:tc>
          <w:tcPr>
            <w:tcW w:w="222" w:type="pct"/>
          </w:tcPr>
          <w:p w14:paraId="46A3C417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793B" w14:textId="77777777" w:rsidR="00386A42" w:rsidRPr="00414BAF" w:rsidRDefault="00386A42" w:rsidP="00096F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386A42" w:rsidRPr="00414BAF" w14:paraId="1C522613" w14:textId="77777777" w:rsidTr="00096F07">
        <w:trPr>
          <w:trHeight w:val="20"/>
        </w:trPr>
        <w:tc>
          <w:tcPr>
            <w:tcW w:w="222" w:type="pct"/>
          </w:tcPr>
          <w:p w14:paraId="3FEDA64D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86" w:type="pct"/>
          </w:tcPr>
          <w:p w14:paraId="1B11A9B9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Проведение анализа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450" w:type="pct"/>
          </w:tcPr>
          <w:p w14:paraId="0FA8D83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</w:tcPr>
          <w:p w14:paraId="5B7B0CFE" w14:textId="77777777" w:rsidR="00386A42" w:rsidRPr="00414BAF" w:rsidRDefault="00386A42" w:rsidP="00096F07">
            <w:pPr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направленных итоговых отчетов о неиспользуемых объектах недвижимости в министерство имущественных отношений Иркутской области, ед.</w:t>
            </w:r>
          </w:p>
        </w:tc>
        <w:tc>
          <w:tcPr>
            <w:tcW w:w="405" w:type="pct"/>
          </w:tcPr>
          <w:p w14:paraId="1AAE5EC4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2E764DA9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0B8E18AD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655554E0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15A5FFC7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по распоряжению муниципальным имуществом</w:t>
            </w:r>
          </w:p>
        </w:tc>
      </w:tr>
      <w:tr w:rsidR="00386A42" w:rsidRPr="00414BAF" w14:paraId="7345A825" w14:textId="77777777" w:rsidTr="00096F07">
        <w:trPr>
          <w:trHeight w:val="20"/>
        </w:trPr>
        <w:tc>
          <w:tcPr>
            <w:tcW w:w="222" w:type="pct"/>
          </w:tcPr>
          <w:p w14:paraId="168B63E6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41C7B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414BAF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414BAF">
              <w:rPr>
                <w:b/>
                <w:sz w:val="24"/>
                <w:szCs w:val="24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386A42" w:rsidRPr="00414BAF" w14:paraId="1B043B23" w14:textId="77777777" w:rsidTr="00096F07">
        <w:trPr>
          <w:trHeight w:val="20"/>
        </w:trPr>
        <w:tc>
          <w:tcPr>
            <w:tcW w:w="222" w:type="pct"/>
          </w:tcPr>
          <w:p w14:paraId="5250913F" w14:textId="77777777" w:rsidR="00386A42" w:rsidRPr="00414BAF" w:rsidRDefault="00386A42" w:rsidP="0009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6D3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Применение механизмов </w:t>
            </w:r>
            <w:proofErr w:type="spellStart"/>
            <w:r w:rsidRPr="00414BAF">
              <w:rPr>
                <w:sz w:val="24"/>
                <w:szCs w:val="24"/>
              </w:rPr>
              <w:t>муниципально</w:t>
            </w:r>
            <w:proofErr w:type="spellEnd"/>
            <w:r w:rsidRPr="00414BAF">
              <w:rPr>
                <w:sz w:val="24"/>
                <w:szCs w:val="24"/>
              </w:rPr>
              <w:t>-частного партнерства, заключение концессионных соглашений в социальной сфере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DCC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960" w14:textId="77777777" w:rsidR="00386A42" w:rsidRPr="00414BAF" w:rsidRDefault="00386A42" w:rsidP="00096F07">
            <w:pPr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Количество заключенных соглашений о </w:t>
            </w:r>
            <w:proofErr w:type="spellStart"/>
            <w:r w:rsidRPr="00414BAF">
              <w:rPr>
                <w:sz w:val="24"/>
                <w:szCs w:val="24"/>
              </w:rPr>
              <w:t>муниципально</w:t>
            </w:r>
            <w:proofErr w:type="spellEnd"/>
            <w:r w:rsidRPr="00414BAF">
              <w:rPr>
                <w:sz w:val="24"/>
                <w:szCs w:val="24"/>
              </w:rPr>
              <w:t>-частном партнерстве, концессионных соглашений в социальной сфере, ед.</w:t>
            </w:r>
          </w:p>
        </w:tc>
        <w:tc>
          <w:tcPr>
            <w:tcW w:w="405" w:type="pct"/>
          </w:tcPr>
          <w:p w14:paraId="2DDB5F8B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53ED1EE7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14:paraId="4AC761BA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14:paraId="5DFD064B" w14:textId="77777777" w:rsidR="00386A42" w:rsidRPr="00414BAF" w:rsidRDefault="00386A42" w:rsidP="00096F07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14:paraId="4EE75066" w14:textId="77777777" w:rsidR="00386A42" w:rsidRPr="00414BAF" w:rsidRDefault="00386A42" w:rsidP="00096F07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по распоряжению муниципальным имуществом</w:t>
            </w:r>
          </w:p>
        </w:tc>
      </w:tr>
    </w:tbl>
    <w:p w14:paraId="0C5D7EA4" w14:textId="77777777" w:rsidR="00386A42" w:rsidRPr="00A95979" w:rsidRDefault="00386A42" w:rsidP="00386A42">
      <w:pPr>
        <w:rPr>
          <w:sz w:val="22"/>
          <w:szCs w:val="22"/>
        </w:rPr>
      </w:pPr>
    </w:p>
    <w:p w14:paraId="2F0DC804" w14:textId="23092E02" w:rsidR="00132A7F" w:rsidRDefault="00132A7F" w:rsidP="00386A42"/>
    <w:sectPr w:rsidR="00132A7F" w:rsidSect="0038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42"/>
    <w:rsid w:val="00132A7F"/>
    <w:rsid w:val="003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0653"/>
  <w15:chartTrackingRefBased/>
  <w15:docId w15:val="{C0726BD6-2AF2-4E2B-B247-8776AA2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4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86A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386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86A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2021-12-16T06:54:00Z</dcterms:created>
  <dcterms:modified xsi:type="dcterms:W3CDTF">2021-12-16T06:55:00Z</dcterms:modified>
</cp:coreProperties>
</file>