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B4" w:rsidRDefault="00432CB4" w:rsidP="00432CB4">
      <w:pPr>
        <w:suppressAutoHyphens/>
        <w:spacing w:line="276" w:lineRule="auto"/>
        <w:ind w:firstLine="709"/>
        <w:jc w:val="center"/>
        <w:rPr>
          <w:b/>
        </w:rPr>
      </w:pPr>
      <w:r w:rsidRPr="00432CB4">
        <w:rPr>
          <w:b/>
        </w:rPr>
        <w:t>О газоснабжении сжиженного углеводородного газа</w:t>
      </w:r>
    </w:p>
    <w:p w:rsidR="00432CB4" w:rsidRPr="00432CB4" w:rsidRDefault="00432CB4" w:rsidP="00432CB4">
      <w:pPr>
        <w:suppressAutoHyphens/>
        <w:spacing w:line="276" w:lineRule="auto"/>
        <w:ind w:firstLine="709"/>
        <w:jc w:val="center"/>
        <w:rPr>
          <w:b/>
        </w:rPr>
      </w:pP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t>В соответствии с Федеральным</w:t>
      </w:r>
      <w:r w:rsidRPr="00A20A7D">
        <w:t xml:space="preserve"> закон</w:t>
      </w:r>
      <w:r>
        <w:t xml:space="preserve">ом от </w:t>
      </w:r>
      <w:r w:rsidRPr="00A20A7D">
        <w:t>6</w:t>
      </w:r>
      <w:r>
        <w:t xml:space="preserve"> октября </w:t>
      </w:r>
      <w:r w:rsidRPr="00A20A7D">
        <w:t>2003</w:t>
      </w:r>
      <w:r>
        <w:t xml:space="preserve"> года</w:t>
      </w:r>
      <w:r w:rsidRPr="00A20A7D">
        <w:t xml:space="preserve"> </w:t>
      </w:r>
      <w:r>
        <w:br/>
        <w:t>№ </w:t>
      </w:r>
      <w:r w:rsidRPr="00A20A7D">
        <w:t xml:space="preserve">131-ФЗ </w:t>
      </w:r>
      <w:r>
        <w:t>«</w:t>
      </w:r>
      <w:r w:rsidRPr="00A20A7D">
        <w:t>Об общих принципах организации местного самоуп</w:t>
      </w:r>
      <w:r>
        <w:t>равления в Российской Федерации» организация газоснабжения относится к вопросам местного значения.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t>Мониторинг рынка газовых баллонов сжиженного углеводородного газа (далее – СУГ)</w:t>
      </w:r>
      <w:r w:rsidRPr="002D1C66">
        <w:t xml:space="preserve"> </w:t>
      </w:r>
      <w:r>
        <w:t>у населения Иркутской области свидетельствует о несоответствии требованиям федеральным</w:t>
      </w:r>
      <w:r w:rsidRPr="00425D84">
        <w:t xml:space="preserve"> норм</w:t>
      </w:r>
      <w:r>
        <w:t>ам</w:t>
      </w:r>
      <w:r w:rsidRPr="00425D84">
        <w:t xml:space="preserve"> и правил</w:t>
      </w:r>
      <w:r>
        <w:t>ам</w:t>
      </w:r>
      <w:r w:rsidRPr="00425D84">
        <w:t xml:space="preserve"> в области промышленной безопасности</w:t>
      </w:r>
      <w:r>
        <w:t>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t xml:space="preserve">В связи с этим министерство жилищной политики и энергетики Иркутской области </w:t>
      </w:r>
      <w:r w:rsidR="00A659B4">
        <w:t xml:space="preserve">(далее – министерство) </w:t>
      </w:r>
      <w:r>
        <w:t>информирует, что в соответствии с пунктом 548 Правил</w:t>
      </w:r>
      <w:r w:rsidRPr="00852C64">
        <w:t xml:space="preserve"> промышленной безопасности при использовании оборудования, работающего под избыточным давлением</w:t>
      </w:r>
      <w:r>
        <w:t>, утвержденными п</w:t>
      </w:r>
      <w:r w:rsidRPr="00852C64">
        <w:t>риказ</w:t>
      </w:r>
      <w:r>
        <w:t>ом</w:t>
      </w:r>
      <w:r w:rsidRPr="00852C64">
        <w:t xml:space="preserve"> Ростехнадзора от 15</w:t>
      </w:r>
      <w:r>
        <w:t xml:space="preserve"> декабря </w:t>
      </w:r>
      <w:r w:rsidRPr="00852C64">
        <w:t>2020</w:t>
      </w:r>
      <w:r>
        <w:t xml:space="preserve"> года</w:t>
      </w:r>
      <w:r w:rsidRPr="00852C64">
        <w:t xml:space="preserve"> </w:t>
      </w:r>
      <w:r>
        <w:t>№ </w:t>
      </w:r>
      <w:r w:rsidRPr="00852C64">
        <w:t>536</w:t>
      </w:r>
      <w:r>
        <w:t xml:space="preserve"> </w:t>
      </w:r>
      <w:r w:rsidRPr="00834420">
        <w:t xml:space="preserve">определен срок эксплуатации </w:t>
      </w:r>
      <w:r>
        <w:t xml:space="preserve">газовых </w:t>
      </w:r>
      <w:r w:rsidRPr="00834420">
        <w:t>баллонов 20 лет</w:t>
      </w:r>
      <w:r>
        <w:t>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 w:rsidRPr="00A20A7D">
        <w:t>При использовании баллонов на сферической части каждого баллона</w:t>
      </w:r>
      <w:r>
        <w:t xml:space="preserve"> </w:t>
      </w:r>
      <w:r w:rsidRPr="00A20A7D">
        <w:t>должны быть в наличии</w:t>
      </w:r>
      <w:r>
        <w:t xml:space="preserve"> в том числе данные о дате</w:t>
      </w:r>
      <w:r w:rsidRPr="00A20A7D">
        <w:t xml:space="preserve"> проведенного и следующего технического освидетельствования баллона</w:t>
      </w:r>
      <w:r>
        <w:t xml:space="preserve">, </w:t>
      </w:r>
      <w:r w:rsidRPr="00A20A7D">
        <w:t>клеймо организации (индивидуального предпринимателя), проводившей техническое освидетельствование</w:t>
      </w:r>
      <w:r>
        <w:t>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 w:rsidRPr="00834420">
        <w:t>Продление срока эксплуатации баллонов, фактический срок службы которых превысил 20 лет</w:t>
      </w:r>
      <w:r>
        <w:t xml:space="preserve">, </w:t>
      </w:r>
      <w:r w:rsidRPr="00834420">
        <w:t>должно осуществляться по методике технического диагностирования баллонов</w:t>
      </w:r>
      <w:r>
        <w:t xml:space="preserve">, </w:t>
      </w:r>
      <w:r w:rsidRPr="00834420">
        <w:t>согласованной с Ростехнадзором.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 w:rsidRPr="00104811">
        <w:t xml:space="preserve">Техническое освидетельствование баллонов производится раз в 5 лет с момента изготовления и до конца срока службы баллона 20 лет, о чем ставится на паспорт баллона клеймо </w:t>
      </w:r>
      <w:r w:rsidR="00432CB4" w:rsidRPr="00104811">
        <w:t>организации,</w:t>
      </w:r>
      <w:r w:rsidRPr="00104811">
        <w:t xml:space="preserve"> проводившей освидетельствование и срок следующего освидетельствования.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t xml:space="preserve">В соответствии с пунктом 86 </w:t>
      </w:r>
      <w:r w:rsidRPr="00220140">
        <w:t>Правил противопожарного режима в Российской Федерации</w:t>
      </w:r>
      <w:r>
        <w:t xml:space="preserve">, утвержденных Постановлением Правительства Российской Федерации от 16 сентября </w:t>
      </w:r>
      <w:r w:rsidRPr="00220140">
        <w:t>2020</w:t>
      </w:r>
      <w:r>
        <w:t xml:space="preserve"> года № </w:t>
      </w:r>
      <w:r w:rsidRPr="00220140">
        <w:t>1479</w:t>
      </w:r>
      <w:r>
        <w:t>, запрещается хранение баллонов с горючими газами в квартирах и жилых помещениях, на кухнях, путях эвакуации, лестничных клетках, в цокольных и подвальных этажах, на чердаках, балконах, лоджиях и в галереях.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 w:rsidRPr="00220140">
        <w:t>Газовые баллоны (в том числе для кухонных плит, водогрейных котлов, газовых колонок), за исключени</w:t>
      </w:r>
      <w:r>
        <w:t>ем 1 баллона объемом не более 5 </w:t>
      </w:r>
      <w:r w:rsidRPr="00220140">
        <w:t xml:space="preserve">литров, подключенного к газовой плите заводского изготовления, располагаются вне зданий в шкафах или под кожухами, закрывающими верхнюю часть баллонов и редуктор, из негорючих материалов на видных местах у глухого простенка </w:t>
      </w:r>
      <w:r w:rsidRPr="00220140">
        <w:lastRenderedPageBreak/>
        <w:t>стены на расстоянии не менее 5 метров от входа в здание, на цокольные и подвальные этажи.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t xml:space="preserve">Пристройки и шкафы для газовых баллонов, должны находиться вне помещения, должны запираться на замок и иметь жалюзи для проветривания, а также предупреждающую </w:t>
      </w:r>
      <w:r w:rsidR="00432CB4">
        <w:t>надпись:</w:t>
      </w:r>
      <w:r>
        <w:t xml:space="preserve"> «Огнеопасно. Газ».</w:t>
      </w:r>
    </w:p>
    <w:p w:rsidR="00432CB4" w:rsidRDefault="00432CB4" w:rsidP="007F549D">
      <w:pPr>
        <w:suppressAutoHyphens/>
        <w:spacing w:line="276" w:lineRule="auto"/>
        <w:ind w:firstLine="709"/>
        <w:jc w:val="both"/>
      </w:pPr>
    </w:p>
    <w:p w:rsidR="007F549D" w:rsidRDefault="007F549D" w:rsidP="00432CB4">
      <w:pPr>
        <w:suppressAutoHyphens/>
        <w:spacing w:line="276" w:lineRule="auto"/>
        <w:ind w:firstLine="709"/>
        <w:jc w:val="center"/>
        <w:rPr>
          <w:b/>
        </w:rPr>
      </w:pPr>
      <w:r w:rsidRPr="00432CB4">
        <w:rPr>
          <w:b/>
        </w:rPr>
        <w:t>По вопросу дост</w:t>
      </w:r>
      <w:r w:rsidR="00432CB4">
        <w:rPr>
          <w:b/>
        </w:rPr>
        <w:t>авки газа населению информируем</w:t>
      </w:r>
    </w:p>
    <w:p w:rsidR="00432CB4" w:rsidRPr="00432CB4" w:rsidRDefault="00432CB4" w:rsidP="007F549D">
      <w:pPr>
        <w:suppressAutoHyphens/>
        <w:spacing w:line="276" w:lineRule="auto"/>
        <w:ind w:firstLine="709"/>
        <w:jc w:val="both"/>
        <w:rPr>
          <w:b/>
        </w:rPr>
      </w:pPr>
    </w:p>
    <w:p w:rsidR="007F549D" w:rsidRDefault="007F549D" w:rsidP="007F549D">
      <w:pPr>
        <w:suppressAutoHyphens/>
        <w:spacing w:line="276" w:lineRule="auto"/>
        <w:ind w:firstLine="709"/>
        <w:jc w:val="both"/>
      </w:pPr>
      <w:r w:rsidRPr="002D1C66">
        <w:t>В связи с существенным ростом стоимости</w:t>
      </w:r>
      <w:r>
        <w:t xml:space="preserve"> СУГ</w:t>
      </w:r>
      <w:r w:rsidRPr="002D1C66">
        <w:t xml:space="preserve"> на </w:t>
      </w:r>
      <w:r>
        <w:t>Санкт-Петербургской Международной Товарно-сырьевой Бирже (далее – СПМТсБ) с начала 2021 года</w:t>
      </w:r>
      <w:r w:rsidRPr="002D1C66">
        <w:t xml:space="preserve">, превышающей установленный уровень в утвержденных для </w:t>
      </w:r>
      <w:r>
        <w:t>газораспределительных организаций</w:t>
      </w:r>
      <w:r w:rsidRPr="002D1C66">
        <w:t xml:space="preserve"> тарифах, Правительством Иркутской области направлено обращение в Минэнерго </w:t>
      </w:r>
      <w:r>
        <w:t xml:space="preserve">России </w:t>
      </w:r>
      <w:r w:rsidRPr="002D1C66">
        <w:t>(</w:t>
      </w:r>
      <w:r>
        <w:t>от 20 мая 2021 года</w:t>
      </w:r>
      <w:r w:rsidRPr="002D1C66">
        <w:t xml:space="preserve"> исх. №</w:t>
      </w:r>
      <w:r>
        <w:t> 02-09-3849/21</w:t>
      </w:r>
      <w:r w:rsidRPr="002D1C66">
        <w:t>) для разъяснения ситуации и принятия д</w:t>
      </w:r>
      <w:r>
        <w:t>ополнительных регуляторных мер.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t>В марте 2021 года стоимость 1 тонны СУГ на СПМТсБ достигала 35 207 руб., увеличившись с начала года в 1,4 раза.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t xml:space="preserve">В соответствии с распоряжением Правительства Иркутской области от 30 октября 2020 года № 919-рп </w:t>
      </w:r>
      <w:r w:rsidRPr="0074357E">
        <w:t>уполномоченными газораспределительными организациями по поставке сжиженного углеводородного газа для бытовых нужд населения Иркутской области по</w:t>
      </w:r>
      <w:r>
        <w:t xml:space="preserve"> регулируемым ценам на 2021 год </w:t>
      </w:r>
      <w:r w:rsidRPr="00A20A7D">
        <w:t>назначен</w:t>
      </w:r>
      <w:r>
        <w:t>ы АО </w:t>
      </w:r>
      <w:r w:rsidRPr="0074357E">
        <w:t>«Иркутскоблгаз»</w:t>
      </w:r>
      <w:r>
        <w:t xml:space="preserve"> тел. </w:t>
      </w:r>
      <w:r w:rsidRPr="0074357E">
        <w:t>8 (3952) 782-550</w:t>
      </w:r>
      <w:r>
        <w:t xml:space="preserve"> и ООО </w:t>
      </w:r>
      <w:r w:rsidRPr="0074357E">
        <w:t>«Газомаркет»</w:t>
      </w:r>
      <w:r>
        <w:t xml:space="preserve"> тел. 8 </w:t>
      </w:r>
      <w:r w:rsidRPr="0074357E">
        <w:t>(3952) 550-371</w:t>
      </w:r>
      <w:r>
        <w:t>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t>Для организации газоснабжения рекомендуем обращаться в данные организации.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t>В соответствии с постановлением Правительства Российской Федерации от 1 февраля 2021 № 93 «</w:t>
      </w:r>
      <w:r w:rsidRPr="00F0661F">
        <w:t>О п</w:t>
      </w:r>
      <w:r>
        <w:t>ризнании утратившим силу пункта </w:t>
      </w:r>
      <w:r w:rsidRPr="00F0661F">
        <w:t>79 Правил предоставления коммунальных услуг собственникам и пользователям помещений в мног</w:t>
      </w:r>
      <w:r>
        <w:t>оквартирных домах и жилых домов» внесено государственное регулирование на доставку газа в баллонах.</w:t>
      </w:r>
    </w:p>
    <w:p w:rsidR="007F549D" w:rsidRPr="00406027" w:rsidRDefault="007F549D" w:rsidP="007F549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406027">
        <w:rPr>
          <w:bCs/>
          <w:szCs w:val="28"/>
        </w:rPr>
        <w:t>В соответствии с приказом ФАС России от 7 августа 2019 года № 1072/19 «Об утверждении Методических указаний по регулированию розничных цен на сжиженный газ, реализуемый населению для бытовых нужд» (в редакции от 25.02.2021) регулированию подлежат розничные цены на сжиженный газ в баллонах с доставкой до потребителя.</w:t>
      </w:r>
    </w:p>
    <w:p w:rsidR="007F549D" w:rsidRPr="00000656" w:rsidRDefault="007F549D" w:rsidP="007F549D">
      <w:pPr>
        <w:suppressAutoHyphens/>
        <w:spacing w:line="276" w:lineRule="auto"/>
        <w:ind w:firstLine="709"/>
        <w:jc w:val="both"/>
      </w:pPr>
      <w:r>
        <w:t>М</w:t>
      </w:r>
      <w:r w:rsidRPr="00000656">
        <w:t>инистерство</w:t>
      </w:r>
      <w:r>
        <w:t>м</w:t>
      </w:r>
      <w:r w:rsidRPr="00000656">
        <w:t xml:space="preserve"> </w:t>
      </w:r>
      <w:r>
        <w:t xml:space="preserve">(письмом от 28 мая 2021 года № 02-58-4895/21) </w:t>
      </w:r>
      <w:r w:rsidRPr="00000656">
        <w:t>рекоменд</w:t>
      </w:r>
      <w:r>
        <w:t>овано АО </w:t>
      </w:r>
      <w:r w:rsidRPr="00000656">
        <w:t>«Иркутскоблгаз» обратиться в службу по тарифам Иркутской области за утверждением розничных цен на сжиженный газ в баллонах с доставкой до потребителя на уровне экономически обоснованных расходов установленным порядком.</w:t>
      </w:r>
    </w:p>
    <w:p w:rsidR="007F549D" w:rsidRDefault="007F549D" w:rsidP="007F549D">
      <w:pPr>
        <w:suppressAutoHyphens/>
        <w:spacing w:line="276" w:lineRule="auto"/>
        <w:ind w:firstLine="709"/>
        <w:jc w:val="both"/>
      </w:pPr>
      <w:r>
        <w:lastRenderedPageBreak/>
        <w:t>Вместе с тем</w:t>
      </w:r>
      <w:r w:rsidR="00EC4D47">
        <w:t>,</w:t>
      </w:r>
      <w:r>
        <w:t xml:space="preserve"> органы местного самоуправления вправе для организации газоснабжением населения оказывать непосредственное содействие в доставке баллонов в соответствии с </w:t>
      </w:r>
      <w:r w:rsidRPr="003260A6">
        <w:t>Правил</w:t>
      </w:r>
      <w:r>
        <w:t>ами</w:t>
      </w:r>
      <w:r w:rsidRPr="003260A6">
        <w:t xml:space="preserve"> перевозок грузов автомобильным транспортом</w:t>
      </w:r>
      <w:r>
        <w:t>, утвержденными п</w:t>
      </w:r>
      <w:r w:rsidRPr="003260A6">
        <w:t>остановление</w:t>
      </w:r>
      <w:r>
        <w:t>м</w:t>
      </w:r>
      <w:r w:rsidRPr="003260A6">
        <w:t xml:space="preserve"> Правительства </w:t>
      </w:r>
      <w:r>
        <w:t xml:space="preserve">Российской Федерации </w:t>
      </w:r>
      <w:r w:rsidRPr="003260A6">
        <w:t>от 21</w:t>
      </w:r>
      <w:r>
        <w:t xml:space="preserve"> декабря </w:t>
      </w:r>
      <w:r w:rsidRPr="003260A6">
        <w:t>2020</w:t>
      </w:r>
      <w:r>
        <w:t> года</w:t>
      </w:r>
      <w:r w:rsidRPr="003260A6">
        <w:t xml:space="preserve"> </w:t>
      </w:r>
      <w:r>
        <w:t>№ </w:t>
      </w:r>
      <w:r w:rsidRPr="003260A6">
        <w:t>2200</w:t>
      </w:r>
      <w:r>
        <w:t>.</w:t>
      </w:r>
      <w:bookmarkStart w:id="0" w:name="_GoBack"/>
      <w:bookmarkEnd w:id="0"/>
    </w:p>
    <w:p w:rsidR="00C36B0A" w:rsidRDefault="00C36B0A" w:rsidP="009C1E7C">
      <w:pPr>
        <w:suppressAutoHyphens/>
        <w:ind w:firstLine="709"/>
        <w:jc w:val="both"/>
      </w:pPr>
    </w:p>
    <w:p w:rsidR="009E7DFD" w:rsidRPr="00D45F2C" w:rsidRDefault="009E7DFD" w:rsidP="009E7DFD">
      <w:pPr>
        <w:suppressAutoHyphens/>
        <w:jc w:val="center"/>
      </w:pPr>
    </w:p>
    <w:tbl>
      <w:tblPr>
        <w:tblStyle w:val="a6"/>
        <w:tblpPr w:leftFromText="180" w:rightFromText="180" w:vertAnchor="text" w:horzAnchor="margin" w:tblpY="11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DF74F4" w:rsidRPr="00D45F2C" w:rsidTr="00DC4AEE">
        <w:tc>
          <w:tcPr>
            <w:tcW w:w="4672" w:type="dxa"/>
          </w:tcPr>
          <w:p w:rsidR="00DF74F4" w:rsidRPr="00D45F2C" w:rsidRDefault="00DF74F4" w:rsidP="00C25279">
            <w:pPr>
              <w:suppressAutoHyphens/>
            </w:pPr>
            <w:bookmarkStart w:id="1" w:name="SIGNERPOST1"/>
            <w:bookmarkEnd w:id="1"/>
          </w:p>
        </w:tc>
        <w:tc>
          <w:tcPr>
            <w:tcW w:w="4826" w:type="dxa"/>
          </w:tcPr>
          <w:p w:rsidR="00DF74F4" w:rsidRPr="00D45F2C" w:rsidRDefault="00DF74F4" w:rsidP="00C25279">
            <w:pPr>
              <w:suppressAutoHyphens/>
              <w:jc w:val="right"/>
            </w:pPr>
            <w:bookmarkStart w:id="2" w:name="SIGNERNAME1"/>
            <w:bookmarkEnd w:id="2"/>
          </w:p>
        </w:tc>
      </w:tr>
    </w:tbl>
    <w:p w:rsidR="009E7DFD" w:rsidRPr="00C25279" w:rsidRDefault="009E7DFD" w:rsidP="009E7DFD">
      <w:pPr>
        <w:suppressAutoHyphens/>
        <w:jc w:val="center"/>
        <w:rPr>
          <w:sz w:val="14"/>
          <w:szCs w:val="14"/>
        </w:rPr>
      </w:pPr>
    </w:p>
    <w:p w:rsidR="00C25279" w:rsidRPr="00C25279" w:rsidRDefault="00C25279" w:rsidP="009E7DFD">
      <w:pPr>
        <w:suppressAutoHyphens/>
        <w:jc w:val="center"/>
        <w:rPr>
          <w:sz w:val="14"/>
          <w:szCs w:val="1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E7DFD" w:rsidRPr="00D45F2C" w:rsidTr="00630722">
        <w:trPr>
          <w:cantSplit/>
        </w:trPr>
        <w:tc>
          <w:tcPr>
            <w:tcW w:w="2336" w:type="dxa"/>
          </w:tcPr>
          <w:p w:rsidR="009E7DFD" w:rsidRPr="00D45F2C" w:rsidRDefault="009E7DFD" w:rsidP="000B25A3">
            <w:pPr>
              <w:suppressAutoHyphens/>
              <w:jc w:val="center"/>
            </w:pPr>
          </w:p>
          <w:p w:rsidR="009E7DFD" w:rsidRPr="00D45F2C" w:rsidRDefault="009E7DFD" w:rsidP="000B25A3">
            <w:pPr>
              <w:suppressAutoHyphens/>
              <w:jc w:val="center"/>
            </w:pPr>
          </w:p>
          <w:p w:rsidR="009E7DFD" w:rsidRPr="00D45F2C" w:rsidRDefault="009E7DFD" w:rsidP="000B25A3">
            <w:pPr>
              <w:suppressAutoHyphens/>
              <w:jc w:val="center"/>
            </w:pPr>
          </w:p>
          <w:p w:rsidR="009E7DFD" w:rsidRPr="00D45F2C" w:rsidRDefault="009E7DFD" w:rsidP="000B25A3">
            <w:pPr>
              <w:suppressAutoHyphens/>
              <w:jc w:val="center"/>
            </w:pPr>
          </w:p>
          <w:p w:rsidR="009E7DFD" w:rsidRPr="00D45F2C" w:rsidRDefault="009E7DFD" w:rsidP="000B25A3">
            <w:pPr>
              <w:suppressAutoHyphens/>
              <w:jc w:val="center"/>
            </w:pPr>
          </w:p>
        </w:tc>
        <w:tc>
          <w:tcPr>
            <w:tcW w:w="2336" w:type="dxa"/>
          </w:tcPr>
          <w:p w:rsidR="009E7DFD" w:rsidRPr="00D45F2C" w:rsidRDefault="009E7DFD" w:rsidP="000B25A3">
            <w:pPr>
              <w:suppressAutoHyphens/>
            </w:pPr>
            <w:bookmarkStart w:id="3" w:name="SIGNERSTAMP1"/>
            <w:bookmarkEnd w:id="3"/>
          </w:p>
        </w:tc>
        <w:tc>
          <w:tcPr>
            <w:tcW w:w="2336" w:type="dxa"/>
          </w:tcPr>
          <w:p w:rsidR="009E7DFD" w:rsidRPr="00D45F2C" w:rsidRDefault="009E7DFD" w:rsidP="000B25A3">
            <w:pPr>
              <w:suppressAutoHyphens/>
              <w:jc w:val="center"/>
            </w:pPr>
          </w:p>
        </w:tc>
        <w:tc>
          <w:tcPr>
            <w:tcW w:w="2337" w:type="dxa"/>
          </w:tcPr>
          <w:p w:rsidR="009E7DFD" w:rsidRPr="00D45F2C" w:rsidRDefault="009E7DFD" w:rsidP="000B25A3">
            <w:pPr>
              <w:suppressAutoHyphens/>
              <w:jc w:val="center"/>
            </w:pPr>
          </w:p>
        </w:tc>
      </w:tr>
    </w:tbl>
    <w:p w:rsidR="009E7DFD" w:rsidRDefault="009E7DFD" w:rsidP="009E7DFD">
      <w:pPr>
        <w:suppressAutoHyphens/>
        <w:jc w:val="center"/>
      </w:pPr>
    </w:p>
    <w:p w:rsidR="00C36B0A" w:rsidRDefault="00C36B0A" w:rsidP="009E7DFD">
      <w:pPr>
        <w:suppressAutoHyphens/>
        <w:jc w:val="center"/>
      </w:pPr>
    </w:p>
    <w:p w:rsidR="00C36B0A" w:rsidRDefault="00C36B0A" w:rsidP="009E7DFD">
      <w:pPr>
        <w:suppressAutoHyphens/>
        <w:jc w:val="center"/>
      </w:pPr>
    </w:p>
    <w:p w:rsidR="00C36B0A" w:rsidRDefault="00C36B0A" w:rsidP="009E7DFD">
      <w:pPr>
        <w:suppressAutoHyphens/>
        <w:jc w:val="center"/>
      </w:pPr>
    </w:p>
    <w:p w:rsidR="00C36B0A" w:rsidRDefault="00C36B0A" w:rsidP="009E7DFD">
      <w:pPr>
        <w:suppressAutoHyphens/>
        <w:jc w:val="center"/>
      </w:pPr>
    </w:p>
    <w:p w:rsidR="00C36B0A" w:rsidRDefault="00C36B0A" w:rsidP="009E7DFD">
      <w:pPr>
        <w:suppressAutoHyphens/>
        <w:jc w:val="center"/>
      </w:pPr>
    </w:p>
    <w:tbl>
      <w:tblPr>
        <w:tblStyle w:val="a6"/>
        <w:tblpPr w:leftFromText="180" w:rightFromText="180" w:vertAnchor="text" w:horzAnchor="margin" w:tblpY="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</w:tblGrid>
      <w:tr w:rsidR="00BA2FD5" w:rsidTr="00DF74F4">
        <w:trPr>
          <w:trHeight w:val="479"/>
        </w:trPr>
        <w:tc>
          <w:tcPr>
            <w:tcW w:w="3623" w:type="dxa"/>
          </w:tcPr>
          <w:p w:rsidR="00BA2FD5" w:rsidRDefault="00BA2FD5">
            <w:pPr>
              <w:rPr>
                <w:rFonts w:eastAsia="Calibri"/>
                <w:sz w:val="16"/>
              </w:rPr>
            </w:pPr>
            <w:bookmarkStart w:id="4" w:name="EXECUTOR"/>
            <w:bookmarkEnd w:id="4"/>
          </w:p>
          <w:p w:rsidR="00BA2FD5" w:rsidRDefault="00BA2FD5">
            <w:pPr>
              <w:rPr>
                <w:rFonts w:eastAsia="Calibri"/>
                <w:sz w:val="16"/>
              </w:rPr>
            </w:pPr>
          </w:p>
        </w:tc>
      </w:tr>
    </w:tbl>
    <w:p w:rsidR="00291A1E" w:rsidRPr="00291A1E" w:rsidRDefault="00291A1E" w:rsidP="00BA2FD5">
      <w:pPr>
        <w:suppressAutoHyphens/>
      </w:pPr>
    </w:p>
    <w:sectPr w:rsidR="00291A1E" w:rsidRPr="00291A1E" w:rsidSect="009C1E7C">
      <w:pgSz w:w="11907" w:h="16840" w:code="9"/>
      <w:pgMar w:top="1134" w:right="850" w:bottom="851" w:left="1701" w:header="454" w:footer="454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31" w:rsidRDefault="00E15431">
      <w:r>
        <w:separator/>
      </w:r>
    </w:p>
  </w:endnote>
  <w:endnote w:type="continuationSeparator" w:id="0">
    <w:p w:rsidR="00E15431" w:rsidRDefault="00E1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31" w:rsidRDefault="00E15431">
      <w:r>
        <w:separator/>
      </w:r>
    </w:p>
  </w:footnote>
  <w:footnote w:type="continuationSeparator" w:id="0">
    <w:p w:rsidR="00E15431" w:rsidRDefault="00E1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F3"/>
    <w:rsid w:val="00006F56"/>
    <w:rsid w:val="000402E4"/>
    <w:rsid w:val="00050C97"/>
    <w:rsid w:val="00060BB6"/>
    <w:rsid w:val="0006435B"/>
    <w:rsid w:val="0007772B"/>
    <w:rsid w:val="0008235B"/>
    <w:rsid w:val="000A41D3"/>
    <w:rsid w:val="000B23F9"/>
    <w:rsid w:val="000B287F"/>
    <w:rsid w:val="000B2FB2"/>
    <w:rsid w:val="000C4897"/>
    <w:rsid w:val="000C742B"/>
    <w:rsid w:val="000E0634"/>
    <w:rsid w:val="000E4302"/>
    <w:rsid w:val="000F5D43"/>
    <w:rsid w:val="00127D1E"/>
    <w:rsid w:val="00127E4D"/>
    <w:rsid w:val="00177A8E"/>
    <w:rsid w:val="001857D7"/>
    <w:rsid w:val="001B0145"/>
    <w:rsid w:val="001B032F"/>
    <w:rsid w:val="001B5750"/>
    <w:rsid w:val="001B6343"/>
    <w:rsid w:val="001D1420"/>
    <w:rsid w:val="001E2082"/>
    <w:rsid w:val="00217616"/>
    <w:rsid w:val="002200BF"/>
    <w:rsid w:val="00223CE9"/>
    <w:rsid w:val="0024768E"/>
    <w:rsid w:val="00256E0F"/>
    <w:rsid w:val="002712B0"/>
    <w:rsid w:val="00277669"/>
    <w:rsid w:val="00291A1E"/>
    <w:rsid w:val="00293C19"/>
    <w:rsid w:val="002A0F5F"/>
    <w:rsid w:val="002B67E4"/>
    <w:rsid w:val="002D29D1"/>
    <w:rsid w:val="002E108C"/>
    <w:rsid w:val="002F2855"/>
    <w:rsid w:val="00300478"/>
    <w:rsid w:val="0030560A"/>
    <w:rsid w:val="00313122"/>
    <w:rsid w:val="00315100"/>
    <w:rsid w:val="0035138A"/>
    <w:rsid w:val="00352E54"/>
    <w:rsid w:val="003755A3"/>
    <w:rsid w:val="003979CE"/>
    <w:rsid w:val="003A4AA2"/>
    <w:rsid w:val="003A7C98"/>
    <w:rsid w:val="003B3423"/>
    <w:rsid w:val="003D028C"/>
    <w:rsid w:val="003F79F3"/>
    <w:rsid w:val="00406855"/>
    <w:rsid w:val="00420403"/>
    <w:rsid w:val="00430700"/>
    <w:rsid w:val="00432CB4"/>
    <w:rsid w:val="0043506D"/>
    <w:rsid w:val="00447458"/>
    <w:rsid w:val="004521BA"/>
    <w:rsid w:val="00482B88"/>
    <w:rsid w:val="0049227E"/>
    <w:rsid w:val="004A6B7C"/>
    <w:rsid w:val="004B2865"/>
    <w:rsid w:val="004B344F"/>
    <w:rsid w:val="004C06FC"/>
    <w:rsid w:val="004D169C"/>
    <w:rsid w:val="004D2A80"/>
    <w:rsid w:val="004F2276"/>
    <w:rsid w:val="005028DC"/>
    <w:rsid w:val="005400A0"/>
    <w:rsid w:val="00545E58"/>
    <w:rsid w:val="0056166D"/>
    <w:rsid w:val="00586C80"/>
    <w:rsid w:val="005901B1"/>
    <w:rsid w:val="005B1D8D"/>
    <w:rsid w:val="005F0FB2"/>
    <w:rsid w:val="00602985"/>
    <w:rsid w:val="006153BE"/>
    <w:rsid w:val="00623950"/>
    <w:rsid w:val="00630722"/>
    <w:rsid w:val="00643BC4"/>
    <w:rsid w:val="0065390E"/>
    <w:rsid w:val="00666ECC"/>
    <w:rsid w:val="00682C49"/>
    <w:rsid w:val="006D1509"/>
    <w:rsid w:val="006E1649"/>
    <w:rsid w:val="006E484E"/>
    <w:rsid w:val="00707051"/>
    <w:rsid w:val="007163D4"/>
    <w:rsid w:val="0072004B"/>
    <w:rsid w:val="00744FF4"/>
    <w:rsid w:val="00763BF1"/>
    <w:rsid w:val="00770EDE"/>
    <w:rsid w:val="00772240"/>
    <w:rsid w:val="00782E2C"/>
    <w:rsid w:val="0079133C"/>
    <w:rsid w:val="007E339B"/>
    <w:rsid w:val="007E6D8D"/>
    <w:rsid w:val="007F549D"/>
    <w:rsid w:val="00805ED9"/>
    <w:rsid w:val="0080750E"/>
    <w:rsid w:val="0082469A"/>
    <w:rsid w:val="008454F7"/>
    <w:rsid w:val="00862838"/>
    <w:rsid w:val="00871007"/>
    <w:rsid w:val="0088736D"/>
    <w:rsid w:val="008A2404"/>
    <w:rsid w:val="008B1A29"/>
    <w:rsid w:val="008B604D"/>
    <w:rsid w:val="008C454A"/>
    <w:rsid w:val="008C4FBA"/>
    <w:rsid w:val="008E5D4A"/>
    <w:rsid w:val="008F0B1C"/>
    <w:rsid w:val="00906EDC"/>
    <w:rsid w:val="00907A76"/>
    <w:rsid w:val="00931666"/>
    <w:rsid w:val="0095356F"/>
    <w:rsid w:val="0095398B"/>
    <w:rsid w:val="00970E35"/>
    <w:rsid w:val="009830F3"/>
    <w:rsid w:val="009A08E2"/>
    <w:rsid w:val="009A32CE"/>
    <w:rsid w:val="009B6987"/>
    <w:rsid w:val="009C1E7C"/>
    <w:rsid w:val="009C7D89"/>
    <w:rsid w:val="009D3AEC"/>
    <w:rsid w:val="009E7DFD"/>
    <w:rsid w:val="009F4C52"/>
    <w:rsid w:val="00A02D87"/>
    <w:rsid w:val="00A13AE5"/>
    <w:rsid w:val="00A41087"/>
    <w:rsid w:val="00A51CA0"/>
    <w:rsid w:val="00A54DC2"/>
    <w:rsid w:val="00A56B89"/>
    <w:rsid w:val="00A57372"/>
    <w:rsid w:val="00A659B4"/>
    <w:rsid w:val="00A70ADD"/>
    <w:rsid w:val="00A71854"/>
    <w:rsid w:val="00A73A1A"/>
    <w:rsid w:val="00A75437"/>
    <w:rsid w:val="00A92093"/>
    <w:rsid w:val="00AA3E70"/>
    <w:rsid w:val="00AC1355"/>
    <w:rsid w:val="00B4081F"/>
    <w:rsid w:val="00B56B2F"/>
    <w:rsid w:val="00B87226"/>
    <w:rsid w:val="00BA2FD5"/>
    <w:rsid w:val="00BA7490"/>
    <w:rsid w:val="00BB2953"/>
    <w:rsid w:val="00BC3728"/>
    <w:rsid w:val="00BC7987"/>
    <w:rsid w:val="00BD3F68"/>
    <w:rsid w:val="00BF49DE"/>
    <w:rsid w:val="00BF5738"/>
    <w:rsid w:val="00C173A3"/>
    <w:rsid w:val="00C22CD5"/>
    <w:rsid w:val="00C25279"/>
    <w:rsid w:val="00C36B0A"/>
    <w:rsid w:val="00C641C2"/>
    <w:rsid w:val="00C87109"/>
    <w:rsid w:val="00CA047E"/>
    <w:rsid w:val="00CA186A"/>
    <w:rsid w:val="00CB45A1"/>
    <w:rsid w:val="00CE1339"/>
    <w:rsid w:val="00CE180C"/>
    <w:rsid w:val="00CF1C95"/>
    <w:rsid w:val="00D035F1"/>
    <w:rsid w:val="00D31BB1"/>
    <w:rsid w:val="00D54C64"/>
    <w:rsid w:val="00D9040E"/>
    <w:rsid w:val="00DE45EE"/>
    <w:rsid w:val="00DF45D3"/>
    <w:rsid w:val="00DF74F4"/>
    <w:rsid w:val="00E109F6"/>
    <w:rsid w:val="00E15431"/>
    <w:rsid w:val="00E21198"/>
    <w:rsid w:val="00E31429"/>
    <w:rsid w:val="00E34335"/>
    <w:rsid w:val="00E73A67"/>
    <w:rsid w:val="00E90CD5"/>
    <w:rsid w:val="00E95715"/>
    <w:rsid w:val="00EA7600"/>
    <w:rsid w:val="00EC2399"/>
    <w:rsid w:val="00EC4D47"/>
    <w:rsid w:val="00ED0808"/>
    <w:rsid w:val="00ED10F8"/>
    <w:rsid w:val="00F051F2"/>
    <w:rsid w:val="00F1051E"/>
    <w:rsid w:val="00F12836"/>
    <w:rsid w:val="00F60283"/>
    <w:rsid w:val="00F73700"/>
    <w:rsid w:val="00F81707"/>
    <w:rsid w:val="00FB6CC0"/>
    <w:rsid w:val="00FB785D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FE20"/>
  <w15:docId w15:val="{9844D2DC-C0FE-4B9C-B02B-0E6DE073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2E108C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11">
    <w:name w:val="Цитата1"/>
    <w:basedOn w:val="a"/>
    <w:pPr>
      <w:spacing w:before="160" w:after="480" w:line="240" w:lineRule="exact"/>
      <w:ind w:left="57" w:right="4820"/>
      <w:jc w:val="both"/>
    </w:pPr>
  </w:style>
  <w:style w:type="table" w:styleId="a6">
    <w:name w:val="Table Grid"/>
    <w:basedOn w:val="a1"/>
    <w:rsid w:val="0058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E6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rsid w:val="00291A1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2E108C"/>
    <w:rPr>
      <w:b/>
      <w:sz w:val="26"/>
    </w:rPr>
  </w:style>
  <w:style w:type="paragraph" w:customStyle="1" w:styleId="ConsPlusNormal">
    <w:name w:val="ConsPlusNormal"/>
    <w:rsid w:val="009C1E7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8D4F714-0E65-430C-8793-BD1501FFA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AA592-A96C-4DE3-9C04-1DBAD3557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B801A-2287-4C9F-ABCB-4CC9D0728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C68DF-FEE1-4C78-BFD3-D1169B731C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И58</vt:lpstr>
    </vt:vector>
  </TitlesOfParts>
  <Company>Управление информационного и документационного обеспечения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И58</dc:title>
  <dc:creator>User</dc:creator>
  <cp:lastModifiedBy>Бочерова Олеся Альфредовна</cp:lastModifiedBy>
  <cp:revision>3</cp:revision>
  <cp:lastPrinted>2007-01-30T02:36:00Z</cp:lastPrinted>
  <dcterms:created xsi:type="dcterms:W3CDTF">2021-06-15T04:07:00Z</dcterms:created>
  <dcterms:modified xsi:type="dcterms:W3CDTF">2021-06-15T04:11:00Z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