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79E3" w14:textId="607998E1" w:rsidR="0004357D" w:rsidRPr="000A40C2" w:rsidRDefault="0004357D" w:rsidP="000A40C2">
      <w:pPr>
        <w:tabs>
          <w:tab w:val="left" w:pos="10490"/>
        </w:tabs>
        <w:ind w:firstLine="10915"/>
        <w:rPr>
          <w:sz w:val="28"/>
          <w:szCs w:val="28"/>
        </w:rPr>
      </w:pPr>
      <w:r w:rsidRPr="000A40C2">
        <w:rPr>
          <w:sz w:val="28"/>
          <w:szCs w:val="28"/>
        </w:rPr>
        <w:t xml:space="preserve">Приложение </w:t>
      </w:r>
      <w:r w:rsidR="00E52EDA" w:rsidRPr="000A40C2">
        <w:rPr>
          <w:sz w:val="28"/>
          <w:szCs w:val="28"/>
        </w:rPr>
        <w:t>1</w:t>
      </w:r>
      <w:r w:rsidRPr="000A40C2">
        <w:rPr>
          <w:sz w:val="28"/>
          <w:szCs w:val="28"/>
        </w:rPr>
        <w:t xml:space="preserve"> к распоряжению </w:t>
      </w:r>
    </w:p>
    <w:p w14:paraId="34A57011" w14:textId="40E7893A" w:rsidR="001A024B" w:rsidRPr="000A40C2" w:rsidRDefault="0004357D" w:rsidP="000A40C2">
      <w:pPr>
        <w:tabs>
          <w:tab w:val="left" w:pos="10490"/>
        </w:tabs>
        <w:ind w:firstLine="10915"/>
        <w:rPr>
          <w:sz w:val="28"/>
          <w:szCs w:val="28"/>
        </w:rPr>
      </w:pPr>
      <w:r w:rsidRPr="000A40C2">
        <w:rPr>
          <w:sz w:val="28"/>
          <w:szCs w:val="28"/>
        </w:rPr>
        <w:t xml:space="preserve">Администрации Шелеховского </w:t>
      </w:r>
    </w:p>
    <w:p w14:paraId="5556F5C5" w14:textId="0240914E" w:rsidR="0004357D" w:rsidRPr="000A40C2" w:rsidRDefault="006A21EE" w:rsidP="000A40C2">
      <w:pPr>
        <w:tabs>
          <w:tab w:val="left" w:pos="10490"/>
        </w:tabs>
        <w:ind w:firstLine="10915"/>
        <w:rPr>
          <w:sz w:val="28"/>
          <w:szCs w:val="28"/>
        </w:rPr>
      </w:pPr>
      <w:r w:rsidRPr="000A40C2">
        <w:rPr>
          <w:sz w:val="28"/>
          <w:szCs w:val="28"/>
        </w:rPr>
        <w:t>м</w:t>
      </w:r>
      <w:r w:rsidR="0004357D" w:rsidRPr="000A40C2">
        <w:rPr>
          <w:sz w:val="28"/>
          <w:szCs w:val="28"/>
        </w:rPr>
        <w:t xml:space="preserve">униципального района </w:t>
      </w:r>
    </w:p>
    <w:p w14:paraId="041F6D99" w14:textId="3E2D4B90" w:rsidR="0004357D" w:rsidRDefault="0004357D" w:rsidP="000A40C2">
      <w:pPr>
        <w:tabs>
          <w:tab w:val="left" w:pos="10490"/>
        </w:tabs>
        <w:ind w:firstLine="10915"/>
        <w:rPr>
          <w:sz w:val="28"/>
          <w:szCs w:val="28"/>
        </w:rPr>
      </w:pPr>
      <w:r w:rsidRPr="000A40C2">
        <w:rPr>
          <w:sz w:val="28"/>
          <w:szCs w:val="28"/>
        </w:rPr>
        <w:t xml:space="preserve">от </w:t>
      </w:r>
      <w:r w:rsidR="00EC366B">
        <w:rPr>
          <w:sz w:val="28"/>
          <w:szCs w:val="28"/>
        </w:rPr>
        <w:t>30.11.2022 № 227-ра</w:t>
      </w:r>
    </w:p>
    <w:p w14:paraId="776CA22C" w14:textId="0B56187A" w:rsidR="001B481E" w:rsidRDefault="001B481E" w:rsidP="001B481E">
      <w:pPr>
        <w:jc w:val="center"/>
        <w:outlineLvl w:val="0"/>
        <w:rPr>
          <w:sz w:val="28"/>
          <w:szCs w:val="28"/>
        </w:rPr>
      </w:pPr>
    </w:p>
    <w:p w14:paraId="0DE0E155" w14:textId="77777777" w:rsidR="001B481E" w:rsidRPr="00AA2A6B" w:rsidRDefault="001B481E" w:rsidP="001B481E">
      <w:pPr>
        <w:jc w:val="right"/>
        <w:rPr>
          <w:sz w:val="28"/>
          <w:szCs w:val="28"/>
        </w:rPr>
      </w:pPr>
    </w:p>
    <w:p w14:paraId="1363678C" w14:textId="77777777" w:rsidR="001B481E" w:rsidRDefault="001B481E" w:rsidP="001B481E">
      <w:pPr>
        <w:jc w:val="center"/>
        <w:rPr>
          <w:sz w:val="28"/>
          <w:szCs w:val="28"/>
        </w:rPr>
      </w:pPr>
      <w:r w:rsidRPr="003063F3">
        <w:rPr>
          <w:sz w:val="28"/>
          <w:szCs w:val="28"/>
        </w:rPr>
        <w:t xml:space="preserve">Перечень </w:t>
      </w:r>
    </w:p>
    <w:p w14:paraId="6017AAF6" w14:textId="67883009" w:rsidR="001B481E" w:rsidRDefault="001B481E" w:rsidP="001B481E">
      <w:pPr>
        <w:jc w:val="center"/>
        <w:rPr>
          <w:sz w:val="28"/>
          <w:szCs w:val="28"/>
        </w:rPr>
      </w:pPr>
      <w:r w:rsidRPr="003063F3">
        <w:rPr>
          <w:sz w:val="28"/>
          <w:szCs w:val="28"/>
        </w:rPr>
        <w:t>товарных рынков для содействия развитию конкуренции на территории Шелеховского района на 2022-2025 годы</w:t>
      </w:r>
    </w:p>
    <w:p w14:paraId="6EA7C2BA" w14:textId="77777777" w:rsidR="001B481E" w:rsidRPr="00742465" w:rsidRDefault="001B481E" w:rsidP="001B481E">
      <w:pPr>
        <w:jc w:val="center"/>
        <w:rPr>
          <w:sz w:val="24"/>
          <w:szCs w:val="26"/>
        </w:rPr>
      </w:pPr>
    </w:p>
    <w:tbl>
      <w:tblPr>
        <w:tblW w:w="5161"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9"/>
        <w:gridCol w:w="2985"/>
        <w:gridCol w:w="5238"/>
        <w:gridCol w:w="1965"/>
        <w:gridCol w:w="1759"/>
        <w:gridCol w:w="2877"/>
      </w:tblGrid>
      <w:tr w:rsidR="001B481E" w:rsidRPr="004B2335" w14:paraId="0D67486D" w14:textId="77777777" w:rsidTr="001B481E">
        <w:tc>
          <w:tcPr>
            <w:tcW w:w="172" w:type="pct"/>
          </w:tcPr>
          <w:p w14:paraId="0706765D" w14:textId="77777777" w:rsidR="001B481E" w:rsidRPr="004B2335" w:rsidRDefault="001B481E" w:rsidP="00AE3337">
            <w:pPr>
              <w:pStyle w:val="ConsPlusNormal"/>
              <w:ind w:firstLine="0"/>
              <w:jc w:val="center"/>
              <w:rPr>
                <w:rFonts w:ascii="Times New Roman" w:hAnsi="Times New Roman" w:cs="Times New Roman"/>
                <w:b/>
                <w:sz w:val="24"/>
                <w:szCs w:val="24"/>
              </w:rPr>
            </w:pPr>
            <w:r w:rsidRPr="004B2335">
              <w:rPr>
                <w:rFonts w:ascii="Times New Roman" w:hAnsi="Times New Roman" w:cs="Times New Roman"/>
                <w:b/>
                <w:sz w:val="24"/>
                <w:szCs w:val="24"/>
              </w:rPr>
              <w:t>№ п/п</w:t>
            </w:r>
          </w:p>
        </w:tc>
        <w:tc>
          <w:tcPr>
            <w:tcW w:w="972" w:type="pct"/>
          </w:tcPr>
          <w:p w14:paraId="1DF77CD8" w14:textId="77777777" w:rsidR="001B481E" w:rsidRPr="004B2335" w:rsidRDefault="001B481E" w:rsidP="00AE3337">
            <w:pPr>
              <w:pStyle w:val="ConsPlusNormal"/>
              <w:ind w:firstLine="0"/>
              <w:jc w:val="center"/>
              <w:rPr>
                <w:rFonts w:ascii="Times New Roman" w:hAnsi="Times New Roman" w:cs="Times New Roman"/>
                <w:b/>
                <w:sz w:val="24"/>
                <w:szCs w:val="24"/>
              </w:rPr>
            </w:pPr>
            <w:r w:rsidRPr="004B2335">
              <w:rPr>
                <w:rFonts w:ascii="Times New Roman" w:hAnsi="Times New Roman" w:cs="Times New Roman"/>
                <w:b/>
                <w:sz w:val="24"/>
                <w:szCs w:val="24"/>
              </w:rPr>
              <w:t>Наименование товарного рынка</w:t>
            </w:r>
          </w:p>
        </w:tc>
        <w:tc>
          <w:tcPr>
            <w:tcW w:w="1706" w:type="pct"/>
          </w:tcPr>
          <w:p w14:paraId="3A7D20A4" w14:textId="77777777" w:rsidR="001B481E" w:rsidRPr="004B2335" w:rsidRDefault="001B481E" w:rsidP="00AE3337">
            <w:pPr>
              <w:pStyle w:val="ConsPlusNormal"/>
              <w:ind w:firstLine="0"/>
              <w:jc w:val="center"/>
              <w:rPr>
                <w:rFonts w:ascii="Times New Roman" w:hAnsi="Times New Roman" w:cs="Times New Roman"/>
                <w:b/>
                <w:sz w:val="24"/>
                <w:szCs w:val="24"/>
              </w:rPr>
            </w:pPr>
            <w:r w:rsidRPr="004B2335">
              <w:rPr>
                <w:rFonts w:ascii="Times New Roman" w:hAnsi="Times New Roman" w:cs="Times New Roman"/>
                <w:b/>
                <w:sz w:val="24"/>
                <w:szCs w:val="24"/>
              </w:rPr>
              <w:t>Наименование ключевого показателя</w:t>
            </w:r>
          </w:p>
        </w:tc>
        <w:tc>
          <w:tcPr>
            <w:tcW w:w="640" w:type="pct"/>
          </w:tcPr>
          <w:p w14:paraId="6D5A19ED" w14:textId="1C860AA1" w:rsidR="001B481E" w:rsidRPr="004B2335" w:rsidRDefault="001B481E" w:rsidP="00AE3337">
            <w:pPr>
              <w:pStyle w:val="ConsPlusNormal"/>
              <w:ind w:firstLine="0"/>
              <w:jc w:val="center"/>
              <w:rPr>
                <w:rFonts w:ascii="Times New Roman" w:hAnsi="Times New Roman" w:cs="Times New Roman"/>
                <w:b/>
                <w:sz w:val="24"/>
                <w:szCs w:val="24"/>
              </w:rPr>
            </w:pPr>
            <w:r w:rsidRPr="004B2335">
              <w:rPr>
                <w:rFonts w:ascii="Times New Roman" w:hAnsi="Times New Roman" w:cs="Times New Roman"/>
                <w:b/>
                <w:sz w:val="24"/>
                <w:szCs w:val="24"/>
              </w:rPr>
              <w:t>Значение ключевого показателя по состоянию на 01.01.20</w:t>
            </w:r>
            <w:r w:rsidR="00D66047" w:rsidRPr="004B2335">
              <w:rPr>
                <w:rFonts w:ascii="Times New Roman" w:hAnsi="Times New Roman" w:cs="Times New Roman"/>
                <w:b/>
                <w:sz w:val="24"/>
                <w:szCs w:val="24"/>
              </w:rPr>
              <w:t>22</w:t>
            </w:r>
            <w:r w:rsidRPr="004B2335">
              <w:rPr>
                <w:rFonts w:ascii="Times New Roman" w:hAnsi="Times New Roman" w:cs="Times New Roman"/>
                <w:b/>
                <w:sz w:val="24"/>
                <w:szCs w:val="24"/>
              </w:rPr>
              <w:t> года</w:t>
            </w:r>
          </w:p>
        </w:tc>
        <w:tc>
          <w:tcPr>
            <w:tcW w:w="573" w:type="pct"/>
          </w:tcPr>
          <w:p w14:paraId="34A19DF2" w14:textId="1B2198FF" w:rsidR="001B481E" w:rsidRPr="004B2335" w:rsidRDefault="001B481E" w:rsidP="00AE3337">
            <w:pPr>
              <w:pStyle w:val="ConsPlusNormal"/>
              <w:ind w:firstLine="0"/>
              <w:jc w:val="center"/>
              <w:rPr>
                <w:rFonts w:ascii="Times New Roman" w:hAnsi="Times New Roman" w:cs="Times New Roman"/>
                <w:b/>
                <w:sz w:val="24"/>
                <w:szCs w:val="24"/>
              </w:rPr>
            </w:pPr>
            <w:r w:rsidRPr="004B2335">
              <w:rPr>
                <w:rFonts w:ascii="Times New Roman" w:hAnsi="Times New Roman" w:cs="Times New Roman"/>
                <w:b/>
                <w:sz w:val="24"/>
                <w:szCs w:val="24"/>
              </w:rPr>
              <w:t xml:space="preserve">Минимальное значение ключевого показателя к </w:t>
            </w:r>
            <w:r w:rsidR="00D66047" w:rsidRPr="004B2335">
              <w:rPr>
                <w:rFonts w:ascii="Times New Roman" w:hAnsi="Times New Roman" w:cs="Times New Roman"/>
                <w:b/>
                <w:sz w:val="24"/>
                <w:szCs w:val="24"/>
              </w:rPr>
              <w:t>31</w:t>
            </w:r>
            <w:r w:rsidRPr="004B2335">
              <w:rPr>
                <w:rFonts w:ascii="Times New Roman" w:hAnsi="Times New Roman" w:cs="Times New Roman"/>
                <w:b/>
                <w:sz w:val="24"/>
                <w:szCs w:val="24"/>
              </w:rPr>
              <w:t>.</w:t>
            </w:r>
            <w:r w:rsidR="00D66047" w:rsidRPr="004B2335">
              <w:rPr>
                <w:rFonts w:ascii="Times New Roman" w:hAnsi="Times New Roman" w:cs="Times New Roman"/>
                <w:b/>
                <w:sz w:val="24"/>
                <w:szCs w:val="24"/>
              </w:rPr>
              <w:t>12</w:t>
            </w:r>
            <w:r w:rsidRPr="004B2335">
              <w:rPr>
                <w:rFonts w:ascii="Times New Roman" w:hAnsi="Times New Roman" w:cs="Times New Roman"/>
                <w:b/>
                <w:sz w:val="24"/>
                <w:szCs w:val="24"/>
              </w:rPr>
              <w:t>.202</w:t>
            </w:r>
            <w:r w:rsidR="00D66047" w:rsidRPr="004B2335">
              <w:rPr>
                <w:rFonts w:ascii="Times New Roman" w:hAnsi="Times New Roman" w:cs="Times New Roman"/>
                <w:b/>
                <w:sz w:val="24"/>
                <w:szCs w:val="24"/>
              </w:rPr>
              <w:t>5</w:t>
            </w:r>
            <w:r w:rsidRPr="004B2335">
              <w:rPr>
                <w:rFonts w:ascii="Times New Roman" w:hAnsi="Times New Roman" w:cs="Times New Roman"/>
                <w:b/>
                <w:sz w:val="24"/>
                <w:szCs w:val="24"/>
              </w:rPr>
              <w:t xml:space="preserve"> года</w:t>
            </w:r>
          </w:p>
        </w:tc>
        <w:tc>
          <w:tcPr>
            <w:tcW w:w="937" w:type="pct"/>
          </w:tcPr>
          <w:p w14:paraId="373528B4" w14:textId="77777777" w:rsidR="001B481E" w:rsidRPr="004B2335" w:rsidRDefault="001B481E" w:rsidP="00AE3337">
            <w:pPr>
              <w:pStyle w:val="ConsPlusNormal"/>
              <w:ind w:firstLine="0"/>
              <w:jc w:val="center"/>
              <w:rPr>
                <w:rFonts w:ascii="Times New Roman" w:hAnsi="Times New Roman" w:cs="Times New Roman"/>
                <w:b/>
                <w:sz w:val="24"/>
                <w:szCs w:val="24"/>
              </w:rPr>
            </w:pPr>
            <w:r w:rsidRPr="004B2335">
              <w:rPr>
                <w:rFonts w:ascii="Times New Roman" w:hAnsi="Times New Roman" w:cs="Times New Roman"/>
                <w:b/>
                <w:sz w:val="24"/>
                <w:szCs w:val="24"/>
              </w:rPr>
              <w:t>Ответственный исполнитель</w:t>
            </w:r>
          </w:p>
        </w:tc>
      </w:tr>
      <w:tr w:rsidR="00202EBE" w:rsidRPr="004B2335" w14:paraId="1BDFFE94" w14:textId="77777777" w:rsidTr="001B481E">
        <w:tc>
          <w:tcPr>
            <w:tcW w:w="172" w:type="pct"/>
            <w:vMerge w:val="restart"/>
          </w:tcPr>
          <w:p w14:paraId="6A7A8263" w14:textId="77777777" w:rsidR="00202EBE" w:rsidRPr="004B2335" w:rsidRDefault="00202EBE" w:rsidP="00202EBE">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14:paraId="78E908AC" w14:textId="77777777" w:rsidR="00202EBE" w:rsidRPr="004B2335" w:rsidRDefault="00202EBE" w:rsidP="00202EBE">
            <w:pPr>
              <w:pStyle w:val="ConsPlusNormal"/>
              <w:ind w:firstLine="0"/>
              <w:rPr>
                <w:rFonts w:ascii="Times New Roman" w:hAnsi="Times New Roman" w:cs="Times New Roman"/>
                <w:sz w:val="24"/>
                <w:szCs w:val="24"/>
              </w:rPr>
            </w:pPr>
            <w:r w:rsidRPr="004B2335">
              <w:rPr>
                <w:rFonts w:ascii="Times New Roman" w:hAnsi="Times New Roman" w:cs="Times New Roman"/>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1706" w:type="pct"/>
          </w:tcPr>
          <w:p w14:paraId="1EFEA03A" w14:textId="77777777" w:rsidR="00202EBE" w:rsidRPr="004B2335" w:rsidRDefault="00202EBE" w:rsidP="00202EBE">
            <w:pPr>
              <w:pStyle w:val="ConsPlusNormal"/>
              <w:ind w:firstLine="0"/>
              <w:rPr>
                <w:rFonts w:ascii="Times New Roman" w:hAnsi="Times New Roman" w:cs="Times New Roman"/>
                <w:sz w:val="24"/>
                <w:szCs w:val="24"/>
              </w:rPr>
            </w:pPr>
            <w:r w:rsidRPr="004B2335">
              <w:rPr>
                <w:rFonts w:ascii="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640" w:type="pct"/>
          </w:tcPr>
          <w:p w14:paraId="2955A0B9" w14:textId="5A03863F" w:rsidR="00202EBE" w:rsidRPr="004B2335" w:rsidRDefault="00202EBE" w:rsidP="00202EBE">
            <w:pPr>
              <w:pStyle w:val="ConsPlusNormal"/>
              <w:ind w:firstLine="0"/>
              <w:jc w:val="center"/>
              <w:rPr>
                <w:rFonts w:ascii="Times New Roman" w:hAnsi="Times New Roman" w:cs="Times New Roman"/>
                <w:color w:val="FF0000"/>
                <w:sz w:val="24"/>
                <w:szCs w:val="24"/>
              </w:rPr>
            </w:pPr>
            <w:r w:rsidRPr="004B2335">
              <w:rPr>
                <w:rFonts w:ascii="Times New Roman" w:hAnsi="Times New Roman" w:cs="Times New Roman"/>
                <w:sz w:val="24"/>
                <w:szCs w:val="24"/>
              </w:rPr>
              <w:t>92,3</w:t>
            </w:r>
          </w:p>
        </w:tc>
        <w:tc>
          <w:tcPr>
            <w:tcW w:w="573" w:type="pct"/>
          </w:tcPr>
          <w:p w14:paraId="55038FE7" w14:textId="02D2DF08" w:rsidR="00202EBE" w:rsidRPr="004B2335" w:rsidRDefault="00202EBE" w:rsidP="00202EBE">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92,3</w:t>
            </w:r>
          </w:p>
        </w:tc>
        <w:tc>
          <w:tcPr>
            <w:tcW w:w="937" w:type="pct"/>
          </w:tcPr>
          <w:p w14:paraId="04B481B0" w14:textId="784B1A95" w:rsidR="00202EBE" w:rsidRPr="004B2335" w:rsidRDefault="00202EBE" w:rsidP="00202EBE">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Управление по распоряжению муниципальным имуществом</w:t>
            </w:r>
          </w:p>
        </w:tc>
      </w:tr>
      <w:tr w:rsidR="00EE2FFF" w:rsidRPr="004B2335" w14:paraId="12E6FBB9" w14:textId="77777777" w:rsidTr="00AE3337">
        <w:tc>
          <w:tcPr>
            <w:tcW w:w="172" w:type="pct"/>
            <w:vMerge/>
          </w:tcPr>
          <w:p w14:paraId="7B362BBC" w14:textId="77777777" w:rsidR="00EE2FFF" w:rsidRPr="004B2335" w:rsidRDefault="00EE2FFF" w:rsidP="00EE2FFF">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14:paraId="6838BF6F" w14:textId="77777777" w:rsidR="00EE2FFF" w:rsidRPr="004B2335" w:rsidRDefault="00EE2FFF" w:rsidP="00EE2FFF">
            <w:pPr>
              <w:pStyle w:val="ConsPlusNormal"/>
              <w:ind w:firstLine="0"/>
              <w:jc w:val="both"/>
              <w:rPr>
                <w:rFonts w:ascii="Times New Roman" w:hAnsi="Times New Roman" w:cs="Times New Roman"/>
                <w:sz w:val="24"/>
                <w:szCs w:val="24"/>
              </w:rPr>
            </w:pPr>
            <w:r w:rsidRPr="004B2335">
              <w:rPr>
                <w:rFonts w:ascii="Times New Roman" w:hAnsi="Times New Roman" w:cs="Times New Roman"/>
                <w:sz w:val="24"/>
                <w:szCs w:val="24"/>
              </w:rPr>
              <w:t>Обоснование выбора товарного рынка</w:t>
            </w:r>
          </w:p>
        </w:tc>
        <w:tc>
          <w:tcPr>
            <w:tcW w:w="3856" w:type="pct"/>
            <w:gridSpan w:val="4"/>
          </w:tcPr>
          <w:p w14:paraId="6414F424" w14:textId="2E0A309D" w:rsidR="00EE2FFF" w:rsidRPr="004B2335" w:rsidRDefault="008130CB" w:rsidP="00EE2FFF">
            <w:pPr>
              <w:pStyle w:val="ConsPlusNormal"/>
              <w:ind w:firstLine="709"/>
              <w:jc w:val="both"/>
              <w:rPr>
                <w:rFonts w:ascii="Times New Roman" w:hAnsi="Times New Roman" w:cs="Times New Roman"/>
                <w:sz w:val="24"/>
                <w:szCs w:val="24"/>
              </w:rPr>
            </w:pPr>
            <w:r w:rsidRPr="004B2335">
              <w:rPr>
                <w:rFonts w:ascii="Times New Roman" w:hAnsi="Times New Roman" w:cs="Times New Roman"/>
                <w:sz w:val="24"/>
                <w:szCs w:val="24"/>
              </w:rPr>
              <w:t>В Шелеховском районе работы по содержанию и текущему ремонту общего имущества собственников помещений в многоквартирном доме осуществляются организациями частной и муниципальной форм собственности.</w:t>
            </w:r>
          </w:p>
        </w:tc>
      </w:tr>
      <w:tr w:rsidR="004F1ECF" w:rsidRPr="004B2335" w14:paraId="4CABE53B" w14:textId="77777777" w:rsidTr="001B481E">
        <w:tc>
          <w:tcPr>
            <w:tcW w:w="172" w:type="pct"/>
            <w:vMerge w:val="restart"/>
          </w:tcPr>
          <w:p w14:paraId="4253983C" w14:textId="77777777" w:rsidR="004F1ECF" w:rsidRPr="004B2335" w:rsidRDefault="004F1ECF" w:rsidP="004F1ECF">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14:paraId="1C042033" w14:textId="77777777" w:rsidR="004F1ECF" w:rsidRPr="004B2335" w:rsidRDefault="004F1ECF" w:rsidP="004F1ECF">
            <w:pPr>
              <w:pStyle w:val="ConsPlusNormal"/>
              <w:ind w:firstLine="0"/>
              <w:rPr>
                <w:rFonts w:ascii="Times New Roman" w:hAnsi="Times New Roman" w:cs="Times New Roman"/>
                <w:sz w:val="24"/>
                <w:szCs w:val="24"/>
              </w:rPr>
            </w:pPr>
            <w:r w:rsidRPr="004B2335">
              <w:rPr>
                <w:rFonts w:ascii="Times New Roman" w:hAnsi="Times New Roman" w:cs="Times New Roman"/>
                <w:sz w:val="24"/>
                <w:szCs w:val="24"/>
              </w:rPr>
              <w:t>Сфера наружной рекламы</w:t>
            </w:r>
          </w:p>
        </w:tc>
        <w:tc>
          <w:tcPr>
            <w:tcW w:w="1706" w:type="pct"/>
          </w:tcPr>
          <w:p w14:paraId="6553F54E" w14:textId="77777777" w:rsidR="004F1ECF" w:rsidRPr="004B2335" w:rsidRDefault="004F1ECF" w:rsidP="004F1ECF">
            <w:pPr>
              <w:pStyle w:val="ConsPlusNormal"/>
              <w:ind w:firstLine="0"/>
              <w:rPr>
                <w:rFonts w:ascii="Times New Roman" w:hAnsi="Times New Roman" w:cs="Times New Roman"/>
                <w:sz w:val="24"/>
                <w:szCs w:val="24"/>
              </w:rPr>
            </w:pPr>
            <w:r w:rsidRPr="004B2335">
              <w:rPr>
                <w:rFonts w:ascii="Times New Roman" w:hAnsi="Times New Roman" w:cs="Times New Roman"/>
                <w:sz w:val="24"/>
                <w:szCs w:val="24"/>
              </w:rPr>
              <w:t>доля организаций частной формы собственности в сфере наружной рекламы, процентов</w:t>
            </w:r>
          </w:p>
        </w:tc>
        <w:tc>
          <w:tcPr>
            <w:tcW w:w="640" w:type="pct"/>
          </w:tcPr>
          <w:p w14:paraId="60F694B0" w14:textId="499D42B3" w:rsidR="004F1ECF" w:rsidRPr="004B2335" w:rsidRDefault="000705FB" w:rsidP="004F1EC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573" w:type="pct"/>
          </w:tcPr>
          <w:p w14:paraId="6EB31E98" w14:textId="4A1C0D3C" w:rsidR="004F1ECF" w:rsidRPr="004B2335" w:rsidRDefault="000705FB" w:rsidP="004F1EC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100</w:t>
            </w:r>
          </w:p>
        </w:tc>
        <w:tc>
          <w:tcPr>
            <w:tcW w:w="937" w:type="pct"/>
          </w:tcPr>
          <w:p w14:paraId="68A99451" w14:textId="0FD1842B" w:rsidR="004F1ECF" w:rsidRPr="004B2335" w:rsidRDefault="004F1ECF" w:rsidP="004B1851">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Управление территориального развития и обустройства</w:t>
            </w:r>
          </w:p>
        </w:tc>
      </w:tr>
      <w:tr w:rsidR="00EE2FFF" w:rsidRPr="004B2335" w14:paraId="6B662433" w14:textId="77777777" w:rsidTr="00AE3337">
        <w:tc>
          <w:tcPr>
            <w:tcW w:w="172" w:type="pct"/>
            <w:vMerge/>
          </w:tcPr>
          <w:p w14:paraId="7985E14C" w14:textId="77777777" w:rsidR="00EE2FFF" w:rsidRPr="004B2335" w:rsidRDefault="00EE2FFF" w:rsidP="00EE2FFF">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tcPr>
          <w:p w14:paraId="20210AC9" w14:textId="77777777" w:rsidR="00EE2FFF" w:rsidRPr="004B2335" w:rsidRDefault="00EE2FFF" w:rsidP="00EE2FFF">
            <w:pPr>
              <w:pStyle w:val="ConsPlusNormal"/>
              <w:ind w:firstLine="0"/>
              <w:jc w:val="both"/>
              <w:rPr>
                <w:rFonts w:ascii="Times New Roman" w:hAnsi="Times New Roman" w:cs="Times New Roman"/>
                <w:sz w:val="24"/>
                <w:szCs w:val="24"/>
              </w:rPr>
            </w:pPr>
            <w:r w:rsidRPr="004B2335">
              <w:rPr>
                <w:rFonts w:ascii="Times New Roman" w:hAnsi="Times New Roman" w:cs="Times New Roman"/>
                <w:sz w:val="24"/>
                <w:szCs w:val="24"/>
              </w:rPr>
              <w:t>Обоснование выбора товарного рынка</w:t>
            </w:r>
          </w:p>
        </w:tc>
        <w:tc>
          <w:tcPr>
            <w:tcW w:w="3856" w:type="pct"/>
            <w:gridSpan w:val="4"/>
          </w:tcPr>
          <w:p w14:paraId="40F35262" w14:textId="0EA251F6" w:rsidR="007B4E88" w:rsidRPr="007B4E88" w:rsidRDefault="00EE2FFF" w:rsidP="007B4E88">
            <w:pPr>
              <w:shd w:val="clear" w:color="auto" w:fill="FFFFFF"/>
              <w:autoSpaceDE/>
              <w:autoSpaceDN/>
              <w:ind w:firstLine="709"/>
              <w:jc w:val="both"/>
              <w:rPr>
                <w:rFonts w:eastAsia="Times New Roman"/>
                <w:sz w:val="24"/>
                <w:szCs w:val="24"/>
              </w:rPr>
            </w:pPr>
            <w:r w:rsidRPr="007B4E88">
              <w:rPr>
                <w:sz w:val="24"/>
                <w:szCs w:val="24"/>
              </w:rPr>
              <w:t xml:space="preserve">В соответствии с Федеральным законом от 13.03.2006 № 38-ФЗ «О рекламе» установка и эксплуатация рекламных конструкций на территории Шелеховского района осуществляется на основании </w:t>
            </w:r>
            <w:r w:rsidR="007B4E88" w:rsidRPr="007B4E88">
              <w:rPr>
                <w:rFonts w:eastAsia="Times New Roman"/>
                <w:sz w:val="24"/>
                <w:szCs w:val="24"/>
              </w:rPr>
              <w:t xml:space="preserve">Схемы размещения рекламных конструкций на территории Шелеховского района, утвержденной постановлением Администрации Шелеховского муниципального района </w:t>
            </w:r>
            <w:r w:rsidR="007B4E88" w:rsidRPr="007B4E88">
              <w:rPr>
                <w:sz w:val="24"/>
                <w:szCs w:val="24"/>
                <w:shd w:val="clear" w:color="auto" w:fill="FFFFFF"/>
              </w:rPr>
              <w:t>от 20.10.2014 № 1067-па.</w:t>
            </w:r>
          </w:p>
          <w:p w14:paraId="2EA78355" w14:textId="738B7055" w:rsidR="00EE2FFF" w:rsidRPr="007B4E88" w:rsidRDefault="00EE2FFF" w:rsidP="007B4E88">
            <w:pPr>
              <w:adjustRightInd w:val="0"/>
              <w:ind w:firstLine="709"/>
              <w:jc w:val="both"/>
              <w:rPr>
                <w:sz w:val="24"/>
                <w:szCs w:val="24"/>
              </w:rPr>
            </w:pPr>
            <w:r w:rsidRPr="007B4E88">
              <w:rPr>
                <w:sz w:val="24"/>
                <w:szCs w:val="24"/>
              </w:rPr>
              <w:t>В Шелеховском районе за 2021 год выдано</w:t>
            </w:r>
            <w:r w:rsidR="000705FB" w:rsidRPr="007B4E88">
              <w:rPr>
                <w:sz w:val="24"/>
                <w:szCs w:val="24"/>
              </w:rPr>
              <w:t xml:space="preserve"> 1</w:t>
            </w:r>
            <w:r w:rsidRPr="007B4E88">
              <w:rPr>
                <w:sz w:val="24"/>
                <w:szCs w:val="24"/>
              </w:rPr>
              <w:t xml:space="preserve"> разрешени</w:t>
            </w:r>
            <w:r w:rsidR="000705FB" w:rsidRPr="007B4E88">
              <w:rPr>
                <w:sz w:val="24"/>
                <w:szCs w:val="24"/>
              </w:rPr>
              <w:t>е</w:t>
            </w:r>
            <w:r w:rsidRPr="007B4E88">
              <w:rPr>
                <w:sz w:val="24"/>
                <w:szCs w:val="24"/>
              </w:rPr>
              <w:t xml:space="preserve"> на установку рекламной конструкции частн</w:t>
            </w:r>
            <w:r w:rsidR="000705FB" w:rsidRPr="007B4E88">
              <w:rPr>
                <w:sz w:val="24"/>
                <w:szCs w:val="24"/>
              </w:rPr>
              <w:t>ой</w:t>
            </w:r>
            <w:r w:rsidRPr="007B4E88">
              <w:rPr>
                <w:sz w:val="24"/>
                <w:szCs w:val="24"/>
              </w:rPr>
              <w:t xml:space="preserve"> организаци</w:t>
            </w:r>
            <w:r w:rsidR="000705FB" w:rsidRPr="007B4E88">
              <w:rPr>
                <w:sz w:val="24"/>
                <w:szCs w:val="24"/>
              </w:rPr>
              <w:t>и</w:t>
            </w:r>
            <w:r w:rsidRPr="007B4E88">
              <w:rPr>
                <w:sz w:val="24"/>
                <w:szCs w:val="24"/>
              </w:rPr>
              <w:t>. Дальнейшая реализация мероприятий по содействию развития конкуренции на рынке направлена на сохранение сложившегося уровня конкурентных отношений.</w:t>
            </w:r>
          </w:p>
        </w:tc>
      </w:tr>
      <w:tr w:rsidR="001C5183" w:rsidRPr="004B2335" w14:paraId="7F53990F" w14:textId="77777777" w:rsidTr="001B481E">
        <w:tc>
          <w:tcPr>
            <w:tcW w:w="172" w:type="pct"/>
            <w:vMerge w:val="restart"/>
          </w:tcPr>
          <w:p w14:paraId="4887ADF1" w14:textId="77777777" w:rsidR="001C5183" w:rsidRPr="004B2335" w:rsidRDefault="001C5183" w:rsidP="00EE2FFF">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vMerge w:val="restart"/>
          </w:tcPr>
          <w:p w14:paraId="1828C24E" w14:textId="478C6DE2" w:rsidR="001C5183" w:rsidRPr="004B2335" w:rsidRDefault="001C5183" w:rsidP="00EE2FFF">
            <w:pPr>
              <w:adjustRightInd w:val="0"/>
              <w:rPr>
                <w:sz w:val="24"/>
                <w:szCs w:val="24"/>
              </w:rPr>
            </w:pPr>
            <w:r w:rsidRPr="004B2335">
              <w:rPr>
                <w:sz w:val="24"/>
                <w:szCs w:val="24"/>
              </w:rPr>
              <w:t>Рынок торговли</w:t>
            </w:r>
          </w:p>
        </w:tc>
        <w:tc>
          <w:tcPr>
            <w:tcW w:w="1706" w:type="pct"/>
          </w:tcPr>
          <w:p w14:paraId="6EB2F650" w14:textId="77777777" w:rsidR="001C5183" w:rsidRPr="004B2335" w:rsidRDefault="001C5183" w:rsidP="00EE2FFF">
            <w:pPr>
              <w:adjustRightInd w:val="0"/>
              <w:rPr>
                <w:sz w:val="24"/>
                <w:szCs w:val="24"/>
              </w:rPr>
            </w:pPr>
            <w:r w:rsidRPr="004B2335">
              <w:rPr>
                <w:sz w:val="24"/>
                <w:szCs w:val="24"/>
              </w:rPr>
              <w:t>доля хозяйствующих субъектов негосударственных форм собственности в общем обороте розничной торговли, процентов</w:t>
            </w:r>
          </w:p>
        </w:tc>
        <w:tc>
          <w:tcPr>
            <w:tcW w:w="640" w:type="pct"/>
          </w:tcPr>
          <w:p w14:paraId="62A03BF1" w14:textId="6FAAC192" w:rsidR="001C5183" w:rsidRPr="004B2335" w:rsidRDefault="00A409B0" w:rsidP="00EE2FFF">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100</w:t>
            </w:r>
          </w:p>
        </w:tc>
        <w:tc>
          <w:tcPr>
            <w:tcW w:w="573" w:type="pct"/>
          </w:tcPr>
          <w:p w14:paraId="38288782" w14:textId="1D3A84B2" w:rsidR="001C5183" w:rsidRPr="004B2335" w:rsidRDefault="00A409B0" w:rsidP="00EE2FFF">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100</w:t>
            </w:r>
          </w:p>
        </w:tc>
        <w:tc>
          <w:tcPr>
            <w:tcW w:w="937" w:type="pct"/>
          </w:tcPr>
          <w:p w14:paraId="05E362D8" w14:textId="77777777" w:rsidR="001C5183" w:rsidRPr="004B2335" w:rsidRDefault="001C5183" w:rsidP="00F04298">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Отдел по развитию потребительского рынка</w:t>
            </w:r>
          </w:p>
        </w:tc>
      </w:tr>
      <w:tr w:rsidR="001C5183" w:rsidRPr="004B2335" w14:paraId="33F8F71C" w14:textId="77777777" w:rsidTr="001B481E">
        <w:tc>
          <w:tcPr>
            <w:tcW w:w="172" w:type="pct"/>
            <w:vMerge/>
          </w:tcPr>
          <w:p w14:paraId="1BEBE4E4" w14:textId="77777777" w:rsidR="001C5183" w:rsidRPr="004B2335" w:rsidRDefault="001C5183" w:rsidP="001C5183">
            <w:pPr>
              <w:pStyle w:val="ConsPlusNormal"/>
              <w:widowControl w:val="0"/>
              <w:numPr>
                <w:ilvl w:val="0"/>
                <w:numId w:val="4"/>
              </w:numPr>
              <w:adjustRightInd/>
              <w:ind w:left="0" w:firstLine="0"/>
              <w:jc w:val="center"/>
              <w:rPr>
                <w:rFonts w:ascii="Times New Roman" w:hAnsi="Times New Roman" w:cs="Times New Roman"/>
                <w:sz w:val="24"/>
                <w:szCs w:val="24"/>
              </w:rPr>
            </w:pPr>
          </w:p>
        </w:tc>
        <w:tc>
          <w:tcPr>
            <w:tcW w:w="972" w:type="pct"/>
            <w:vMerge/>
          </w:tcPr>
          <w:p w14:paraId="43B8C64F" w14:textId="77777777" w:rsidR="001C5183" w:rsidRPr="004B2335" w:rsidRDefault="001C5183" w:rsidP="001C5183">
            <w:pPr>
              <w:adjustRightInd w:val="0"/>
              <w:rPr>
                <w:sz w:val="24"/>
                <w:szCs w:val="24"/>
              </w:rPr>
            </w:pPr>
          </w:p>
        </w:tc>
        <w:tc>
          <w:tcPr>
            <w:tcW w:w="1706" w:type="pct"/>
          </w:tcPr>
          <w:p w14:paraId="229CA97B" w14:textId="2806892A" w:rsidR="001C5183" w:rsidRPr="004B2335" w:rsidRDefault="001C5183" w:rsidP="001C5183">
            <w:pPr>
              <w:adjustRightInd w:val="0"/>
              <w:rPr>
                <w:sz w:val="24"/>
                <w:szCs w:val="24"/>
              </w:rPr>
            </w:pPr>
            <w:r w:rsidRPr="004B2335">
              <w:rPr>
                <w:sz w:val="24"/>
                <w:szCs w:val="24"/>
              </w:rPr>
              <w:t xml:space="preserve">увеличение количества нестационарных торговых объектов и торговых мест под них, процентов по отношению к показателям </w:t>
            </w:r>
            <w:r w:rsidRPr="004B2335">
              <w:rPr>
                <w:sz w:val="24"/>
                <w:szCs w:val="24"/>
              </w:rPr>
              <w:br/>
              <w:t>2020 года</w:t>
            </w:r>
          </w:p>
        </w:tc>
        <w:tc>
          <w:tcPr>
            <w:tcW w:w="640" w:type="pct"/>
          </w:tcPr>
          <w:p w14:paraId="6F1E92EC" w14:textId="6A1E9A95" w:rsidR="001C5183" w:rsidRPr="004B2335" w:rsidRDefault="00A409B0" w:rsidP="001C5183">
            <w:pPr>
              <w:pStyle w:val="ConsPlusNormal"/>
              <w:ind w:firstLine="0"/>
              <w:jc w:val="center"/>
              <w:rPr>
                <w:rFonts w:ascii="Times New Roman" w:hAnsi="Times New Roman" w:cs="Times New Roman"/>
                <w:color w:val="FF0000"/>
                <w:sz w:val="24"/>
                <w:szCs w:val="24"/>
              </w:rPr>
            </w:pPr>
            <w:r w:rsidRPr="00F04298">
              <w:rPr>
                <w:rFonts w:ascii="Times New Roman" w:hAnsi="Times New Roman" w:cs="Times New Roman"/>
                <w:sz w:val="24"/>
                <w:szCs w:val="24"/>
              </w:rPr>
              <w:t>94,5</w:t>
            </w:r>
          </w:p>
        </w:tc>
        <w:tc>
          <w:tcPr>
            <w:tcW w:w="573" w:type="pct"/>
          </w:tcPr>
          <w:p w14:paraId="02F74D44" w14:textId="12394524" w:rsidR="001C5183" w:rsidRPr="004B2335" w:rsidRDefault="00F04298" w:rsidP="001C5183">
            <w:pPr>
              <w:pStyle w:val="ConsPlusNormal"/>
              <w:ind w:firstLine="0"/>
              <w:jc w:val="center"/>
              <w:rPr>
                <w:rFonts w:ascii="Times New Roman" w:hAnsi="Times New Roman" w:cs="Times New Roman"/>
                <w:color w:val="FF0000"/>
                <w:sz w:val="24"/>
                <w:szCs w:val="24"/>
              </w:rPr>
            </w:pPr>
            <w:r>
              <w:rPr>
                <w:rFonts w:ascii="Times New Roman" w:hAnsi="Times New Roman" w:cs="Times New Roman"/>
                <w:sz w:val="24"/>
                <w:szCs w:val="24"/>
              </w:rPr>
              <w:t>1</w:t>
            </w:r>
            <w:r w:rsidR="004F1ECF" w:rsidRPr="004B2335">
              <w:rPr>
                <w:rFonts w:ascii="Times New Roman" w:hAnsi="Times New Roman" w:cs="Times New Roman"/>
                <w:sz w:val="24"/>
                <w:szCs w:val="24"/>
              </w:rPr>
              <w:t>10</w:t>
            </w:r>
          </w:p>
        </w:tc>
        <w:tc>
          <w:tcPr>
            <w:tcW w:w="937" w:type="pct"/>
          </w:tcPr>
          <w:p w14:paraId="645BE1F9" w14:textId="2DFBB4FE" w:rsidR="001C5183" w:rsidRPr="004B2335" w:rsidRDefault="001C5183" w:rsidP="00F04298">
            <w:pPr>
              <w:pStyle w:val="ConsPlusNormal"/>
              <w:ind w:firstLine="0"/>
              <w:jc w:val="center"/>
              <w:rPr>
                <w:rFonts w:ascii="Times New Roman" w:hAnsi="Times New Roman" w:cs="Times New Roman"/>
                <w:sz w:val="24"/>
                <w:szCs w:val="24"/>
              </w:rPr>
            </w:pPr>
            <w:r w:rsidRPr="004B2335">
              <w:rPr>
                <w:rFonts w:ascii="Times New Roman" w:hAnsi="Times New Roman" w:cs="Times New Roman"/>
                <w:sz w:val="24"/>
                <w:szCs w:val="24"/>
              </w:rPr>
              <w:t>Отдел по развитию потребительского рынка</w:t>
            </w:r>
          </w:p>
        </w:tc>
      </w:tr>
      <w:tr w:rsidR="001C5183" w:rsidRPr="004B2335" w14:paraId="284211B3" w14:textId="77777777" w:rsidTr="004F1ECF">
        <w:trPr>
          <w:trHeight w:val="4760"/>
        </w:trPr>
        <w:tc>
          <w:tcPr>
            <w:tcW w:w="172" w:type="pct"/>
            <w:vMerge/>
          </w:tcPr>
          <w:p w14:paraId="4523D52D" w14:textId="77777777" w:rsidR="001C5183" w:rsidRPr="004B2335" w:rsidRDefault="001C5183" w:rsidP="001C5183">
            <w:pPr>
              <w:pStyle w:val="ConsPlusNormal"/>
              <w:widowControl w:val="0"/>
              <w:numPr>
                <w:ilvl w:val="0"/>
                <w:numId w:val="4"/>
              </w:numPr>
              <w:adjustRightInd/>
              <w:ind w:left="0" w:firstLine="0"/>
              <w:jc w:val="center"/>
              <w:rPr>
                <w:rFonts w:ascii="Times New Roman" w:hAnsi="Times New Roman" w:cs="Times New Roman"/>
                <w:sz w:val="24"/>
                <w:szCs w:val="24"/>
                <w:highlight w:val="green"/>
              </w:rPr>
            </w:pPr>
          </w:p>
        </w:tc>
        <w:tc>
          <w:tcPr>
            <w:tcW w:w="972" w:type="pct"/>
          </w:tcPr>
          <w:p w14:paraId="0AB5FB97" w14:textId="77777777" w:rsidR="001C5183" w:rsidRPr="004B2335" w:rsidRDefault="001C5183" w:rsidP="001C5183">
            <w:pPr>
              <w:pStyle w:val="ConsPlusNormal"/>
              <w:ind w:firstLine="0"/>
              <w:jc w:val="both"/>
              <w:rPr>
                <w:rFonts w:ascii="Times New Roman" w:hAnsi="Times New Roman" w:cs="Times New Roman"/>
                <w:sz w:val="24"/>
                <w:szCs w:val="24"/>
                <w:highlight w:val="green"/>
              </w:rPr>
            </w:pPr>
            <w:r w:rsidRPr="004B2335">
              <w:rPr>
                <w:rFonts w:ascii="Times New Roman" w:hAnsi="Times New Roman" w:cs="Times New Roman"/>
                <w:sz w:val="24"/>
                <w:szCs w:val="24"/>
              </w:rPr>
              <w:t>Обоснование выбора товарного рынка</w:t>
            </w:r>
          </w:p>
        </w:tc>
        <w:tc>
          <w:tcPr>
            <w:tcW w:w="3856" w:type="pct"/>
            <w:gridSpan w:val="4"/>
          </w:tcPr>
          <w:p w14:paraId="35FA58D2" w14:textId="4883C0E6" w:rsidR="001C5183" w:rsidRPr="004B2335" w:rsidRDefault="001C5183" w:rsidP="001C5183">
            <w:pPr>
              <w:pStyle w:val="ConsPlusNormal"/>
              <w:ind w:firstLine="567"/>
              <w:jc w:val="both"/>
              <w:rPr>
                <w:rFonts w:ascii="Times New Roman" w:hAnsi="Times New Roman" w:cs="Times New Roman"/>
                <w:sz w:val="24"/>
                <w:szCs w:val="24"/>
              </w:rPr>
            </w:pPr>
            <w:r w:rsidRPr="004B2335">
              <w:rPr>
                <w:rFonts w:ascii="Times New Roman" w:hAnsi="Times New Roman" w:cs="Times New Roman"/>
                <w:sz w:val="24"/>
                <w:szCs w:val="24"/>
              </w:rPr>
              <w:t xml:space="preserve">По состоянию на 01.01.2022  в Шелеховском районе функционируют: 701 объект розничной торговли, общественного питания и бытового обслуживания, включающих в себя 273 стационарных магазина, 156 единиц павильонов и киосков, 10 торговых центров общей торговой площадью 13,6 тыс. кв. м., 5 площадок с открытыми прилавками на 85 торговых мест, 86 организаций общественного питания на 3 009 посадочных места и 171 объект по оказанию бытовых услуг.  </w:t>
            </w:r>
          </w:p>
          <w:p w14:paraId="69015E0A" w14:textId="2DA1FCD2" w:rsidR="001C5183" w:rsidRPr="004B2335" w:rsidRDefault="001C5183" w:rsidP="001C5183">
            <w:pPr>
              <w:ind w:firstLine="567"/>
              <w:jc w:val="both"/>
              <w:rPr>
                <w:sz w:val="24"/>
                <w:szCs w:val="24"/>
              </w:rPr>
            </w:pPr>
            <w:r w:rsidRPr="004B2335">
              <w:rPr>
                <w:sz w:val="24"/>
                <w:szCs w:val="24"/>
              </w:rPr>
              <w:t xml:space="preserve">В 2021 году проведены 29 сезонных ярмарок, 46 ярмарок «выходного дня», 7 праздничных и тематических ярмарок.  В ярмарках приняли участие предприятия агропромышленного комплекса, крестьянско-фермерские хозяйства, садово-огороднические кооперативы, товаропроизводители области.  В летний период 2021 года с мая по сентябрь действовали на постоянной основе 6 открытых торговых площадок по продаже овощей и ягод с личных подворий, дикоросы. Вне зависимости от сезона, пользуется спросом у населения возможность приобретения с автоприлавков овощей и картофеля, выращенных на землях личных подсобных хозяйств. </w:t>
            </w:r>
          </w:p>
          <w:p w14:paraId="16528A77" w14:textId="77777777" w:rsidR="001C5183" w:rsidRPr="004B2335" w:rsidRDefault="001C5183" w:rsidP="001C5183">
            <w:pPr>
              <w:ind w:firstLine="709"/>
              <w:jc w:val="both"/>
              <w:rPr>
                <w:sz w:val="24"/>
                <w:szCs w:val="24"/>
              </w:rPr>
            </w:pPr>
            <w:r w:rsidRPr="004B2335">
              <w:rPr>
                <w:sz w:val="24"/>
                <w:szCs w:val="24"/>
              </w:rPr>
              <w:t xml:space="preserve">Одним из основных в развитии торговли является показатель обеспеченности населения торговыми площадями. За 2021 год суммарный показатель по Шелеховскому району увеличился на 23,58 кв.м. и составил 746,86 </w:t>
            </w:r>
            <w:proofErr w:type="gramStart"/>
            <w:r w:rsidRPr="004B2335">
              <w:rPr>
                <w:sz w:val="24"/>
                <w:szCs w:val="24"/>
              </w:rPr>
              <w:t>кв.м</w:t>
            </w:r>
            <w:proofErr w:type="gramEnd"/>
            <w:r w:rsidRPr="004B2335">
              <w:rPr>
                <w:sz w:val="24"/>
                <w:szCs w:val="24"/>
              </w:rPr>
              <w:t xml:space="preserve"> при нормативе 483 кв.м. на 1</w:t>
            </w:r>
            <w:r w:rsidRPr="004B2335">
              <w:rPr>
                <w:sz w:val="24"/>
                <w:szCs w:val="24"/>
                <w:lang w:val="en-US"/>
              </w:rPr>
              <w:t> </w:t>
            </w:r>
            <w:r w:rsidRPr="004B2335">
              <w:rPr>
                <w:sz w:val="24"/>
                <w:szCs w:val="24"/>
              </w:rPr>
              <w:t xml:space="preserve">000 чел. населения. </w:t>
            </w:r>
          </w:p>
          <w:p w14:paraId="4282A007" w14:textId="40ABEB47" w:rsidR="004F1ECF" w:rsidRPr="004B2335" w:rsidRDefault="001C5183" w:rsidP="00BB27CC">
            <w:pPr>
              <w:pStyle w:val="ConsPlusNormal"/>
              <w:ind w:firstLine="567"/>
              <w:jc w:val="both"/>
              <w:rPr>
                <w:rFonts w:ascii="Times New Roman" w:hAnsi="Times New Roman" w:cs="Times New Roman"/>
                <w:sz w:val="24"/>
                <w:szCs w:val="24"/>
              </w:rPr>
            </w:pPr>
            <w:r w:rsidRPr="004B2335">
              <w:rPr>
                <w:rFonts w:ascii="Times New Roman" w:hAnsi="Times New Roman" w:cs="Times New Roman"/>
                <w:sz w:val="24"/>
                <w:szCs w:val="24"/>
              </w:rPr>
              <w:t>В целях упорядочения размещения нестационарных торговых объектов, повышения обеспеченности населения Шелеховского района торговыми площадями решением Думы района от 25.11.2021 № 41-рд утверждена Схема размещения нестационарных торговых объектов (далее – Схема НТО) на 2022 год.</w:t>
            </w:r>
            <w:r w:rsidR="004F1ECF" w:rsidRPr="004B2335">
              <w:rPr>
                <w:rFonts w:ascii="Times New Roman" w:hAnsi="Times New Roman" w:cs="Times New Roman"/>
                <w:sz w:val="24"/>
                <w:szCs w:val="24"/>
              </w:rPr>
              <w:t xml:space="preserve"> </w:t>
            </w:r>
            <w:r w:rsidRPr="004B2335">
              <w:rPr>
                <w:rFonts w:ascii="Times New Roman" w:hAnsi="Times New Roman" w:cs="Times New Roman"/>
                <w:sz w:val="24"/>
                <w:szCs w:val="24"/>
              </w:rPr>
              <w:t>По состоянию на 01.01.202</w:t>
            </w:r>
            <w:r w:rsidR="009575E5" w:rsidRPr="004B2335">
              <w:rPr>
                <w:rFonts w:ascii="Times New Roman" w:hAnsi="Times New Roman" w:cs="Times New Roman"/>
                <w:sz w:val="24"/>
                <w:szCs w:val="24"/>
              </w:rPr>
              <w:t>2</w:t>
            </w:r>
            <w:r w:rsidRPr="004B2335">
              <w:rPr>
                <w:rFonts w:ascii="Times New Roman" w:hAnsi="Times New Roman" w:cs="Times New Roman"/>
                <w:sz w:val="24"/>
                <w:szCs w:val="24"/>
              </w:rPr>
              <w:t xml:space="preserve"> в Схему НТО включены </w:t>
            </w:r>
            <w:r w:rsidR="00BB27CC" w:rsidRPr="004B2335">
              <w:rPr>
                <w:rFonts w:ascii="Times New Roman" w:hAnsi="Times New Roman" w:cs="Times New Roman"/>
                <w:sz w:val="24"/>
                <w:szCs w:val="24"/>
              </w:rPr>
              <w:t>156</w:t>
            </w:r>
            <w:r w:rsidRPr="004B2335">
              <w:rPr>
                <w:rFonts w:ascii="Times New Roman" w:hAnsi="Times New Roman" w:cs="Times New Roman"/>
                <w:sz w:val="24"/>
                <w:szCs w:val="24"/>
              </w:rPr>
              <w:t xml:space="preserve"> объектов.</w:t>
            </w:r>
          </w:p>
        </w:tc>
      </w:tr>
    </w:tbl>
    <w:p w14:paraId="7424EFBD" w14:textId="77777777" w:rsidR="00202EBE" w:rsidRDefault="00202EBE" w:rsidP="001B481E">
      <w:pPr>
        <w:jc w:val="right"/>
        <w:rPr>
          <w:sz w:val="28"/>
          <w:szCs w:val="28"/>
        </w:rPr>
      </w:pPr>
    </w:p>
    <w:p w14:paraId="5F28FF8D" w14:textId="69AA8771" w:rsidR="00202EBE" w:rsidRDefault="00202EBE">
      <w:pPr>
        <w:autoSpaceDE/>
        <w:autoSpaceDN/>
        <w:spacing w:after="200" w:line="276" w:lineRule="auto"/>
        <w:rPr>
          <w:sz w:val="28"/>
          <w:szCs w:val="28"/>
        </w:rPr>
      </w:pPr>
    </w:p>
    <w:sectPr w:rsidR="00202EBE" w:rsidSect="004F1ECF">
      <w:headerReference w:type="default" r:id="rId7"/>
      <w:headerReference w:type="first" r:id="rId8"/>
      <w:pgSz w:w="16838" w:h="11906" w:orient="landscape" w:code="9"/>
      <w:pgMar w:top="709" w:right="820" w:bottom="567" w:left="1134" w:header="283"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73D4" w14:textId="77777777" w:rsidR="002E4BDB" w:rsidRDefault="002E4BDB">
      <w:r>
        <w:separator/>
      </w:r>
    </w:p>
  </w:endnote>
  <w:endnote w:type="continuationSeparator" w:id="0">
    <w:p w14:paraId="580B8C28" w14:textId="77777777" w:rsidR="002E4BDB" w:rsidRDefault="002E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DDF8" w14:textId="77777777" w:rsidR="002E4BDB" w:rsidRDefault="002E4BDB">
      <w:r>
        <w:separator/>
      </w:r>
    </w:p>
  </w:footnote>
  <w:footnote w:type="continuationSeparator" w:id="0">
    <w:p w14:paraId="7FF39489" w14:textId="77777777" w:rsidR="002E4BDB" w:rsidRDefault="002E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F821" w14:textId="77777777" w:rsidR="00F20C64" w:rsidRPr="0029037D" w:rsidRDefault="00462883">
    <w:pPr>
      <w:pStyle w:val="a5"/>
      <w:jc w:val="center"/>
      <w:rPr>
        <w:sz w:val="24"/>
        <w:szCs w:val="24"/>
      </w:rPr>
    </w:pPr>
    <w:r w:rsidRPr="0029037D">
      <w:rPr>
        <w:sz w:val="24"/>
        <w:szCs w:val="24"/>
      </w:rPr>
      <w:fldChar w:fldCharType="begin"/>
    </w:r>
    <w:r w:rsidRPr="0029037D">
      <w:rPr>
        <w:sz w:val="24"/>
        <w:szCs w:val="24"/>
      </w:rPr>
      <w:instrText>PAGE   \* MERGEFORMAT</w:instrText>
    </w:r>
    <w:r w:rsidRPr="0029037D">
      <w:rPr>
        <w:sz w:val="24"/>
        <w:szCs w:val="24"/>
      </w:rPr>
      <w:fldChar w:fldCharType="separate"/>
    </w:r>
    <w:r w:rsidR="004512C1">
      <w:rPr>
        <w:noProof/>
        <w:sz w:val="24"/>
        <w:szCs w:val="24"/>
      </w:rPr>
      <w:t>5</w:t>
    </w:r>
    <w:r w:rsidRPr="0029037D">
      <w:rPr>
        <w:sz w:val="24"/>
        <w:szCs w:val="24"/>
      </w:rPr>
      <w:fldChar w:fldCharType="end"/>
    </w:r>
  </w:p>
  <w:p w14:paraId="6A31B598" w14:textId="77777777" w:rsidR="00F20C64" w:rsidRPr="0029037D" w:rsidRDefault="00000000">
    <w:pPr>
      <w:pStyle w:val="a5"/>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BBC9" w14:textId="77777777" w:rsidR="00F20C64" w:rsidRPr="006C6580" w:rsidRDefault="00000000" w:rsidP="00DD7A4D">
    <w:pPr>
      <w:pStyle w:val="a5"/>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2EB"/>
    <w:multiLevelType w:val="hybridMultilevel"/>
    <w:tmpl w:val="BE403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9D4B6A"/>
    <w:multiLevelType w:val="hybridMultilevel"/>
    <w:tmpl w:val="8CC61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064B67"/>
    <w:multiLevelType w:val="hybridMultilevel"/>
    <w:tmpl w:val="15EA3828"/>
    <w:lvl w:ilvl="0" w:tplc="A71688F2">
      <w:start w:val="1"/>
      <w:numFmt w:val="decimal"/>
      <w:lvlText w:val="%1."/>
      <w:lvlJc w:val="left"/>
      <w:pPr>
        <w:ind w:left="2424" w:hanging="864"/>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558E7B82"/>
    <w:multiLevelType w:val="hybridMultilevel"/>
    <w:tmpl w:val="03C02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740702">
    <w:abstractNumId w:val="2"/>
  </w:num>
  <w:num w:numId="2" w16cid:durableId="1658610708">
    <w:abstractNumId w:val="0"/>
  </w:num>
  <w:num w:numId="3" w16cid:durableId="1966157254">
    <w:abstractNumId w:val="1"/>
  </w:num>
  <w:num w:numId="4" w16cid:durableId="190919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34"/>
    <w:rsid w:val="000067C1"/>
    <w:rsid w:val="000272F9"/>
    <w:rsid w:val="00040355"/>
    <w:rsid w:val="0004357D"/>
    <w:rsid w:val="0006412C"/>
    <w:rsid w:val="000705FB"/>
    <w:rsid w:val="000716F7"/>
    <w:rsid w:val="000741F6"/>
    <w:rsid w:val="00076EF7"/>
    <w:rsid w:val="00084E60"/>
    <w:rsid w:val="000A40C2"/>
    <w:rsid w:val="000C10A3"/>
    <w:rsid w:val="000C2E6E"/>
    <w:rsid w:val="000D2924"/>
    <w:rsid w:val="000D3DB4"/>
    <w:rsid w:val="000D44DC"/>
    <w:rsid w:val="000D6A4A"/>
    <w:rsid w:val="00106857"/>
    <w:rsid w:val="00120BF5"/>
    <w:rsid w:val="00121AB0"/>
    <w:rsid w:val="00132369"/>
    <w:rsid w:val="00140567"/>
    <w:rsid w:val="0015096C"/>
    <w:rsid w:val="001700D7"/>
    <w:rsid w:val="00172D4D"/>
    <w:rsid w:val="00175C20"/>
    <w:rsid w:val="00180D40"/>
    <w:rsid w:val="00184862"/>
    <w:rsid w:val="00190B21"/>
    <w:rsid w:val="001A024B"/>
    <w:rsid w:val="001A0E6B"/>
    <w:rsid w:val="001B3B59"/>
    <w:rsid w:val="001B481E"/>
    <w:rsid w:val="001C5183"/>
    <w:rsid w:val="002009AB"/>
    <w:rsid w:val="00200FE9"/>
    <w:rsid w:val="00202EBE"/>
    <w:rsid w:val="002036B0"/>
    <w:rsid w:val="002071CC"/>
    <w:rsid w:val="00226E6E"/>
    <w:rsid w:val="00227E3F"/>
    <w:rsid w:val="00250506"/>
    <w:rsid w:val="00264FDB"/>
    <w:rsid w:val="002731EE"/>
    <w:rsid w:val="002B1308"/>
    <w:rsid w:val="002D1BB3"/>
    <w:rsid w:val="002D310C"/>
    <w:rsid w:val="002E4BDB"/>
    <w:rsid w:val="00300B0F"/>
    <w:rsid w:val="003039FA"/>
    <w:rsid w:val="003063F3"/>
    <w:rsid w:val="0030699E"/>
    <w:rsid w:val="003200BF"/>
    <w:rsid w:val="00323F19"/>
    <w:rsid w:val="00324720"/>
    <w:rsid w:val="00326A87"/>
    <w:rsid w:val="00335A29"/>
    <w:rsid w:val="00335A99"/>
    <w:rsid w:val="00337DC6"/>
    <w:rsid w:val="00342DD0"/>
    <w:rsid w:val="00350ACE"/>
    <w:rsid w:val="00355CF9"/>
    <w:rsid w:val="00363E40"/>
    <w:rsid w:val="00394A61"/>
    <w:rsid w:val="00397B55"/>
    <w:rsid w:val="003A70B8"/>
    <w:rsid w:val="003B1331"/>
    <w:rsid w:val="003E2506"/>
    <w:rsid w:val="00426176"/>
    <w:rsid w:val="00436BA7"/>
    <w:rsid w:val="00440818"/>
    <w:rsid w:val="004512C1"/>
    <w:rsid w:val="00451B61"/>
    <w:rsid w:val="00462883"/>
    <w:rsid w:val="00464A6C"/>
    <w:rsid w:val="004722D0"/>
    <w:rsid w:val="0047282B"/>
    <w:rsid w:val="004847B6"/>
    <w:rsid w:val="00491687"/>
    <w:rsid w:val="004A5D28"/>
    <w:rsid w:val="004B1851"/>
    <w:rsid w:val="004B2335"/>
    <w:rsid w:val="004B76E5"/>
    <w:rsid w:val="004B7B47"/>
    <w:rsid w:val="004D181E"/>
    <w:rsid w:val="004F1ECF"/>
    <w:rsid w:val="00500F4F"/>
    <w:rsid w:val="005241ED"/>
    <w:rsid w:val="00543BC1"/>
    <w:rsid w:val="00555140"/>
    <w:rsid w:val="005579FB"/>
    <w:rsid w:val="00587012"/>
    <w:rsid w:val="00605872"/>
    <w:rsid w:val="006319F8"/>
    <w:rsid w:val="00652EB6"/>
    <w:rsid w:val="0065736F"/>
    <w:rsid w:val="00677095"/>
    <w:rsid w:val="00684D83"/>
    <w:rsid w:val="00686F9A"/>
    <w:rsid w:val="006A21EE"/>
    <w:rsid w:val="006F3AD8"/>
    <w:rsid w:val="006F6E99"/>
    <w:rsid w:val="00706CFF"/>
    <w:rsid w:val="00724600"/>
    <w:rsid w:val="00736A2F"/>
    <w:rsid w:val="00755A05"/>
    <w:rsid w:val="00761A84"/>
    <w:rsid w:val="00764138"/>
    <w:rsid w:val="007836D4"/>
    <w:rsid w:val="00784C65"/>
    <w:rsid w:val="007924BF"/>
    <w:rsid w:val="007A3A22"/>
    <w:rsid w:val="007B4E88"/>
    <w:rsid w:val="007D0689"/>
    <w:rsid w:val="008130CB"/>
    <w:rsid w:val="008177CE"/>
    <w:rsid w:val="0084570A"/>
    <w:rsid w:val="0086718D"/>
    <w:rsid w:val="00885423"/>
    <w:rsid w:val="00886CD2"/>
    <w:rsid w:val="008974C7"/>
    <w:rsid w:val="008D14DE"/>
    <w:rsid w:val="008E6AFE"/>
    <w:rsid w:val="008F6D0E"/>
    <w:rsid w:val="009013C9"/>
    <w:rsid w:val="00905EC2"/>
    <w:rsid w:val="009077CE"/>
    <w:rsid w:val="00933DEA"/>
    <w:rsid w:val="009436EB"/>
    <w:rsid w:val="009575E5"/>
    <w:rsid w:val="00965B72"/>
    <w:rsid w:val="00973D34"/>
    <w:rsid w:val="0098027C"/>
    <w:rsid w:val="00986F4D"/>
    <w:rsid w:val="00996F4A"/>
    <w:rsid w:val="009C410A"/>
    <w:rsid w:val="009E05BB"/>
    <w:rsid w:val="00A2074A"/>
    <w:rsid w:val="00A34841"/>
    <w:rsid w:val="00A4030C"/>
    <w:rsid w:val="00A409B0"/>
    <w:rsid w:val="00A53AF8"/>
    <w:rsid w:val="00A5637F"/>
    <w:rsid w:val="00A6230B"/>
    <w:rsid w:val="00A657EA"/>
    <w:rsid w:val="00A7390E"/>
    <w:rsid w:val="00A7706F"/>
    <w:rsid w:val="00AA0BD8"/>
    <w:rsid w:val="00AB3820"/>
    <w:rsid w:val="00AC1142"/>
    <w:rsid w:val="00AD5D3C"/>
    <w:rsid w:val="00AE6702"/>
    <w:rsid w:val="00AF3342"/>
    <w:rsid w:val="00B358FE"/>
    <w:rsid w:val="00B366E7"/>
    <w:rsid w:val="00B432C7"/>
    <w:rsid w:val="00B46296"/>
    <w:rsid w:val="00B53471"/>
    <w:rsid w:val="00B71BEA"/>
    <w:rsid w:val="00B81397"/>
    <w:rsid w:val="00BA33CE"/>
    <w:rsid w:val="00BA5EA3"/>
    <w:rsid w:val="00BA74A8"/>
    <w:rsid w:val="00BB1237"/>
    <w:rsid w:val="00BB27CC"/>
    <w:rsid w:val="00BB5321"/>
    <w:rsid w:val="00BC125C"/>
    <w:rsid w:val="00BC655B"/>
    <w:rsid w:val="00BE0DF6"/>
    <w:rsid w:val="00C01950"/>
    <w:rsid w:val="00C0764B"/>
    <w:rsid w:val="00C10D7C"/>
    <w:rsid w:val="00C34105"/>
    <w:rsid w:val="00C3761B"/>
    <w:rsid w:val="00C508A3"/>
    <w:rsid w:val="00C61D1F"/>
    <w:rsid w:val="00C80798"/>
    <w:rsid w:val="00C90A00"/>
    <w:rsid w:val="00CA3FB7"/>
    <w:rsid w:val="00CA79B0"/>
    <w:rsid w:val="00CC204B"/>
    <w:rsid w:val="00CE462C"/>
    <w:rsid w:val="00CE6CC9"/>
    <w:rsid w:val="00D00918"/>
    <w:rsid w:val="00D00FA1"/>
    <w:rsid w:val="00D12FF1"/>
    <w:rsid w:val="00D33B0F"/>
    <w:rsid w:val="00D66047"/>
    <w:rsid w:val="00D66D2B"/>
    <w:rsid w:val="00D72BA4"/>
    <w:rsid w:val="00D842BD"/>
    <w:rsid w:val="00D90830"/>
    <w:rsid w:val="00D96F2C"/>
    <w:rsid w:val="00DA2F4D"/>
    <w:rsid w:val="00DC084E"/>
    <w:rsid w:val="00DC1AA2"/>
    <w:rsid w:val="00DE73BE"/>
    <w:rsid w:val="00DF3698"/>
    <w:rsid w:val="00E044E5"/>
    <w:rsid w:val="00E12A2D"/>
    <w:rsid w:val="00E16DCF"/>
    <w:rsid w:val="00E35CFC"/>
    <w:rsid w:val="00E43F1C"/>
    <w:rsid w:val="00E528CD"/>
    <w:rsid w:val="00E52EDA"/>
    <w:rsid w:val="00E576B9"/>
    <w:rsid w:val="00E621E3"/>
    <w:rsid w:val="00E70197"/>
    <w:rsid w:val="00E76205"/>
    <w:rsid w:val="00E92BC6"/>
    <w:rsid w:val="00EA1DB7"/>
    <w:rsid w:val="00EB2F0E"/>
    <w:rsid w:val="00EC366B"/>
    <w:rsid w:val="00ED540F"/>
    <w:rsid w:val="00EE2FFF"/>
    <w:rsid w:val="00EE4DFB"/>
    <w:rsid w:val="00EE7EDF"/>
    <w:rsid w:val="00F012B4"/>
    <w:rsid w:val="00F04298"/>
    <w:rsid w:val="00F31224"/>
    <w:rsid w:val="00F32863"/>
    <w:rsid w:val="00F32B72"/>
    <w:rsid w:val="00F404F3"/>
    <w:rsid w:val="00F41C95"/>
    <w:rsid w:val="00F655C9"/>
    <w:rsid w:val="00F72779"/>
    <w:rsid w:val="00F74D2E"/>
    <w:rsid w:val="00F76C09"/>
    <w:rsid w:val="00F81A6D"/>
    <w:rsid w:val="00F93FF3"/>
    <w:rsid w:val="00F96ECA"/>
    <w:rsid w:val="00FA704C"/>
    <w:rsid w:val="00FA716E"/>
    <w:rsid w:val="00FC2F61"/>
    <w:rsid w:val="00FE1F6C"/>
    <w:rsid w:val="00FE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68A6"/>
  <w15:docId w15:val="{2AFB3EB9-F00F-4699-892F-EFE2365D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D34"/>
    <w:pPr>
      <w:autoSpaceDE w:val="0"/>
      <w:autoSpaceDN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973D34"/>
    <w:pPr>
      <w:keepNext/>
      <w:autoSpaceDE/>
      <w:autoSpaceDN/>
      <w:jc w:val="center"/>
      <w:outlineLvl w:val="1"/>
    </w:pPr>
    <w:rPr>
      <w:rFonts w:eastAsia="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3D34"/>
    <w:rPr>
      <w:rFonts w:ascii="Times New Roman" w:eastAsia="Times New Roman" w:hAnsi="Times New Roman" w:cs="Times New Roman"/>
      <w:b/>
      <w:bCs/>
      <w:sz w:val="32"/>
      <w:szCs w:val="32"/>
      <w:lang w:eastAsia="ru-RU"/>
    </w:rPr>
  </w:style>
  <w:style w:type="paragraph" w:styleId="a3">
    <w:name w:val="Body Text Indent"/>
    <w:basedOn w:val="a"/>
    <w:link w:val="a4"/>
    <w:rsid w:val="00973D34"/>
    <w:pPr>
      <w:tabs>
        <w:tab w:val="left" w:pos="9072"/>
      </w:tabs>
      <w:autoSpaceDE/>
      <w:autoSpaceDN/>
      <w:ind w:firstLine="900"/>
    </w:pPr>
    <w:rPr>
      <w:rFonts w:eastAsia="Times New Roman"/>
      <w:sz w:val="28"/>
      <w:szCs w:val="24"/>
    </w:rPr>
  </w:style>
  <w:style w:type="character" w:customStyle="1" w:styleId="a4">
    <w:name w:val="Основной текст с отступом Знак"/>
    <w:basedOn w:val="a0"/>
    <w:link w:val="a3"/>
    <w:rsid w:val="00973D34"/>
    <w:rPr>
      <w:rFonts w:ascii="Times New Roman" w:eastAsia="Times New Roman" w:hAnsi="Times New Roman" w:cs="Times New Roman"/>
      <w:sz w:val="28"/>
      <w:szCs w:val="24"/>
      <w:lang w:eastAsia="ru-RU"/>
    </w:rPr>
  </w:style>
  <w:style w:type="paragraph" w:styleId="a5">
    <w:name w:val="header"/>
    <w:basedOn w:val="a"/>
    <w:link w:val="a6"/>
    <w:uiPriority w:val="99"/>
    <w:rsid w:val="00973D34"/>
    <w:pPr>
      <w:tabs>
        <w:tab w:val="center" w:pos="4677"/>
        <w:tab w:val="right" w:pos="9355"/>
      </w:tabs>
    </w:pPr>
  </w:style>
  <w:style w:type="character" w:customStyle="1" w:styleId="a6">
    <w:name w:val="Верхний колонтитул Знак"/>
    <w:basedOn w:val="a0"/>
    <w:link w:val="a5"/>
    <w:uiPriority w:val="99"/>
    <w:rsid w:val="00973D34"/>
    <w:rPr>
      <w:rFonts w:ascii="Times New Roman" w:eastAsia="Calibri" w:hAnsi="Times New Roman" w:cs="Times New Roman"/>
      <w:sz w:val="20"/>
      <w:szCs w:val="20"/>
      <w:lang w:eastAsia="ru-RU"/>
    </w:rPr>
  </w:style>
  <w:style w:type="character" w:styleId="a7">
    <w:name w:val="page number"/>
    <w:basedOn w:val="a0"/>
    <w:rsid w:val="00973D34"/>
  </w:style>
  <w:style w:type="paragraph" w:styleId="a8">
    <w:name w:val="Balloon Text"/>
    <w:basedOn w:val="a"/>
    <w:link w:val="a9"/>
    <w:uiPriority w:val="99"/>
    <w:semiHidden/>
    <w:unhideWhenUsed/>
    <w:rsid w:val="00040355"/>
    <w:rPr>
      <w:rFonts w:ascii="Tahoma" w:hAnsi="Tahoma" w:cs="Tahoma"/>
      <w:sz w:val="16"/>
      <w:szCs w:val="16"/>
    </w:rPr>
  </w:style>
  <w:style w:type="character" w:customStyle="1" w:styleId="a9">
    <w:name w:val="Текст выноски Знак"/>
    <w:basedOn w:val="a0"/>
    <w:link w:val="a8"/>
    <w:uiPriority w:val="99"/>
    <w:semiHidden/>
    <w:rsid w:val="00040355"/>
    <w:rPr>
      <w:rFonts w:ascii="Tahoma" w:eastAsia="Calibri" w:hAnsi="Tahoma" w:cs="Tahoma"/>
      <w:sz w:val="16"/>
      <w:szCs w:val="16"/>
      <w:lang w:eastAsia="ru-RU"/>
    </w:rPr>
  </w:style>
  <w:style w:type="paragraph" w:styleId="aa">
    <w:name w:val="List Paragraph"/>
    <w:basedOn w:val="a"/>
    <w:uiPriority w:val="34"/>
    <w:qFormat/>
    <w:rsid w:val="0015096C"/>
    <w:pPr>
      <w:autoSpaceDE/>
      <w:autoSpaceDN/>
      <w:ind w:left="720"/>
      <w:contextualSpacing/>
    </w:pPr>
    <w:rPr>
      <w:rFonts w:ascii="Calibri" w:hAnsi="Calibri"/>
      <w:sz w:val="22"/>
      <w:szCs w:val="22"/>
      <w:lang w:eastAsia="en-US"/>
    </w:rPr>
  </w:style>
  <w:style w:type="character" w:styleId="ab">
    <w:name w:val="Hyperlink"/>
    <w:basedOn w:val="a0"/>
    <w:uiPriority w:val="99"/>
    <w:semiHidden/>
    <w:unhideWhenUsed/>
    <w:rsid w:val="000716F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3698"/>
    <w:pPr>
      <w:autoSpaceDE/>
      <w:autoSpaceDN/>
      <w:spacing w:before="100" w:beforeAutospacing="1" w:after="100" w:afterAutospacing="1"/>
    </w:pPr>
    <w:rPr>
      <w:rFonts w:ascii="Tahoma" w:eastAsia="Times New Roman" w:hAnsi="Tahoma" w:cs="Tahoma"/>
      <w:lang w:val="en-US" w:eastAsia="en-US"/>
    </w:rPr>
  </w:style>
  <w:style w:type="paragraph" w:customStyle="1" w:styleId="ConsPlusNormal">
    <w:name w:val="ConsPlusNormal"/>
    <w:link w:val="ConsPlusNormal0"/>
    <w:qFormat/>
    <w:rsid w:val="0004357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
    <w:basedOn w:val="a0"/>
    <w:uiPriority w:val="99"/>
    <w:rsid w:val="0004357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rmal0">
    <w:name w:val="ConsPlusNormal Знак"/>
    <w:link w:val="ConsPlusNormal"/>
    <w:locked/>
    <w:rsid w:val="000741F6"/>
    <w:rPr>
      <w:rFonts w:ascii="Arial" w:eastAsia="Times New Roman" w:hAnsi="Arial" w:cs="Arial"/>
      <w:sz w:val="20"/>
      <w:szCs w:val="20"/>
      <w:lang w:eastAsia="ru-RU"/>
    </w:rPr>
  </w:style>
  <w:style w:type="paragraph" w:styleId="ac">
    <w:name w:val="footer"/>
    <w:basedOn w:val="a"/>
    <w:link w:val="ad"/>
    <w:uiPriority w:val="99"/>
    <w:unhideWhenUsed/>
    <w:rsid w:val="002B1308"/>
    <w:pPr>
      <w:tabs>
        <w:tab w:val="center" w:pos="4677"/>
        <w:tab w:val="right" w:pos="9355"/>
      </w:tabs>
    </w:pPr>
  </w:style>
  <w:style w:type="character" w:customStyle="1" w:styleId="ad">
    <w:name w:val="Нижний колонтитул Знак"/>
    <w:basedOn w:val="a0"/>
    <w:link w:val="ac"/>
    <w:uiPriority w:val="99"/>
    <w:rsid w:val="002B1308"/>
    <w:rPr>
      <w:rFonts w:ascii="Times New Roman" w:eastAsia="Calibri" w:hAnsi="Times New Roman" w:cs="Times New Roman"/>
      <w:sz w:val="20"/>
      <w:szCs w:val="20"/>
      <w:lang w:eastAsia="ru-RU"/>
    </w:rPr>
  </w:style>
  <w:style w:type="paragraph" w:customStyle="1" w:styleId="ConsPlusTitlePage">
    <w:name w:val="ConsPlusTitlePage"/>
    <w:rsid w:val="00AD5D3C"/>
    <w:pPr>
      <w:widowControl w:val="0"/>
      <w:autoSpaceDE w:val="0"/>
      <w:autoSpaceDN w:val="0"/>
      <w:spacing w:after="0" w:line="240" w:lineRule="auto"/>
    </w:pPr>
    <w:rPr>
      <w:rFonts w:ascii="Tahoma" w:eastAsiaTheme="minorEastAsia" w:hAnsi="Tahoma" w:cs="Tahoma"/>
      <w:sz w:val="20"/>
      <w:lang w:eastAsia="ru-RU"/>
    </w:rPr>
  </w:style>
  <w:style w:type="paragraph" w:styleId="ae">
    <w:name w:val="footnote text"/>
    <w:basedOn w:val="a"/>
    <w:link w:val="af"/>
    <w:uiPriority w:val="99"/>
    <w:semiHidden/>
    <w:unhideWhenUsed/>
    <w:rsid w:val="001C5183"/>
    <w:rPr>
      <w:rFonts w:eastAsia="Times New Roman"/>
    </w:rPr>
  </w:style>
  <w:style w:type="character" w:customStyle="1" w:styleId="af">
    <w:name w:val="Текст сноски Знак"/>
    <w:basedOn w:val="a0"/>
    <w:link w:val="ae"/>
    <w:uiPriority w:val="99"/>
    <w:semiHidden/>
    <w:rsid w:val="001C5183"/>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1C5183"/>
    <w:rPr>
      <w:vertAlign w:val="superscript"/>
    </w:rPr>
  </w:style>
  <w:style w:type="character" w:customStyle="1" w:styleId="af1">
    <w:name w:val="Основной шрифт"/>
    <w:uiPriority w:val="99"/>
    <w:rsid w:val="00FA716E"/>
  </w:style>
  <w:style w:type="table" w:styleId="af2">
    <w:name w:val="Table Grid"/>
    <w:basedOn w:val="a1"/>
    <w:uiPriority w:val="59"/>
    <w:rsid w:val="006A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89331">
      <w:bodyDiv w:val="1"/>
      <w:marLeft w:val="0"/>
      <w:marRight w:val="0"/>
      <w:marTop w:val="0"/>
      <w:marBottom w:val="0"/>
      <w:divBdr>
        <w:top w:val="none" w:sz="0" w:space="0" w:color="auto"/>
        <w:left w:val="none" w:sz="0" w:space="0" w:color="auto"/>
        <w:bottom w:val="none" w:sz="0" w:space="0" w:color="auto"/>
        <w:right w:val="none" w:sz="0" w:space="0" w:color="auto"/>
      </w:divBdr>
    </w:div>
    <w:div w:id="8167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pervova</dc:creator>
  <cp:lastModifiedBy>Ржепко Татьяна Анатольевна</cp:lastModifiedBy>
  <cp:revision>2</cp:revision>
  <cp:lastPrinted>2018-11-15T09:57:00Z</cp:lastPrinted>
  <dcterms:created xsi:type="dcterms:W3CDTF">2023-02-10T01:11:00Z</dcterms:created>
  <dcterms:modified xsi:type="dcterms:W3CDTF">2023-02-10T01:11:00Z</dcterms:modified>
</cp:coreProperties>
</file>