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6270DD">
        <w:rPr>
          <w:b/>
          <w:szCs w:val="24"/>
        </w:rPr>
        <w:t>август</w:t>
      </w:r>
      <w:r w:rsidR="009C1068">
        <w:rPr>
          <w:b/>
          <w:szCs w:val="24"/>
        </w:rPr>
        <w:t xml:space="preserve"> </w:t>
      </w:r>
      <w:r w:rsidR="00DF7F49">
        <w:rPr>
          <w:b/>
          <w:szCs w:val="24"/>
        </w:rPr>
        <w:t>2015</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704"/>
        <w:gridCol w:w="3015"/>
        <w:gridCol w:w="30"/>
        <w:gridCol w:w="40"/>
        <w:gridCol w:w="4243"/>
        <w:gridCol w:w="7"/>
        <w:gridCol w:w="30"/>
        <w:gridCol w:w="6670"/>
      </w:tblGrid>
      <w:tr w:rsidR="005A483A" w:rsidTr="00660312">
        <w:tc>
          <w:tcPr>
            <w:tcW w:w="704" w:type="dxa"/>
          </w:tcPr>
          <w:p w:rsidR="005A483A" w:rsidRPr="005B7836" w:rsidRDefault="005A483A" w:rsidP="00BC2894">
            <w:pPr>
              <w:rPr>
                <w:b/>
              </w:rPr>
            </w:pPr>
            <w:r w:rsidRPr="005B7836">
              <w:rPr>
                <w:b/>
              </w:rPr>
              <w:t>№</w:t>
            </w:r>
          </w:p>
        </w:tc>
        <w:tc>
          <w:tcPr>
            <w:tcW w:w="3085" w:type="dxa"/>
            <w:gridSpan w:val="3"/>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4243"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6707"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660312">
        <w:tc>
          <w:tcPr>
            <w:tcW w:w="704" w:type="dxa"/>
          </w:tcPr>
          <w:p w:rsidR="006E3925" w:rsidRDefault="006E3925" w:rsidP="006E3925">
            <w:pPr>
              <w:jc w:val="center"/>
            </w:pPr>
          </w:p>
        </w:tc>
        <w:tc>
          <w:tcPr>
            <w:tcW w:w="14035" w:type="dxa"/>
            <w:gridSpan w:val="7"/>
          </w:tcPr>
          <w:p w:rsidR="006E3925" w:rsidRDefault="006E3925" w:rsidP="005A483A">
            <w:pPr>
              <w:jc w:val="center"/>
            </w:pPr>
            <w:r w:rsidRPr="005B7836">
              <w:rPr>
                <w:b/>
                <w:bCs/>
              </w:rPr>
              <w:t>ФЕДЕРАЛЬНОЕ ЗАКОНОДАТЕЛЬСТВО</w:t>
            </w:r>
          </w:p>
        </w:tc>
      </w:tr>
      <w:tr w:rsidR="006E3925" w:rsidTr="00660312">
        <w:tc>
          <w:tcPr>
            <w:tcW w:w="704" w:type="dxa"/>
          </w:tcPr>
          <w:p w:rsidR="006E3925" w:rsidRPr="00660312" w:rsidRDefault="006E3925" w:rsidP="00660312">
            <w:pPr>
              <w:pStyle w:val="ab"/>
              <w:numPr>
                <w:ilvl w:val="0"/>
                <w:numId w:val="4"/>
              </w:numPr>
              <w:ind w:left="171" w:firstLine="0"/>
              <w:jc w:val="center"/>
              <w:rPr>
                <w:b/>
                <w:bCs/>
              </w:rPr>
            </w:pPr>
          </w:p>
        </w:tc>
        <w:tc>
          <w:tcPr>
            <w:tcW w:w="3045" w:type="dxa"/>
            <w:gridSpan w:val="2"/>
          </w:tcPr>
          <w:p w:rsidR="006E3925" w:rsidRPr="005B7836" w:rsidRDefault="006270DD" w:rsidP="006270DD">
            <w:pPr>
              <w:jc w:val="both"/>
              <w:rPr>
                <w:b/>
                <w:bCs/>
              </w:rPr>
            </w:pPr>
            <w:r w:rsidRPr="006270DD">
              <w:rPr>
                <w:b/>
                <w:bCs/>
              </w:rPr>
              <w:t>Постановление Правительства РФ от 18 июля 2015 г. N 737 "О внесении изменений в Порядок создания убежищ и иных объектов гражданской обороны"</w:t>
            </w:r>
          </w:p>
        </w:tc>
        <w:tc>
          <w:tcPr>
            <w:tcW w:w="4290" w:type="dxa"/>
            <w:gridSpan w:val="3"/>
          </w:tcPr>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
                <w:bCs/>
                <w:lang w:eastAsia="en-US"/>
              </w:rPr>
              <w:t>Порядок создания убежищ и иных объектов ГО: что нового?</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До внесения изменений к объектам ГО относились убежища, противорадиационные укрытия, специализированные складские помещения для хранения имущества ГО,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ГО.</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 xml:space="preserve">Теперь в перечень входят убежища, противорадиационные укрытия, </w:t>
            </w:r>
            <w:r w:rsidRPr="006270DD">
              <w:rPr>
                <w:rFonts w:eastAsiaTheme="minorHAnsi"/>
                <w:bCs/>
                <w:lang w:eastAsia="en-US"/>
              </w:rPr>
              <w:lastRenderedPageBreak/>
              <w:t>укрытия, специализированные складские помещения (места хранения), санитарно-обмывочные пункты, станции обеззараживания одежды, станции обеззараживания техники, иные объекты ГО. Приведены определения каждой из данных категорий объектов.</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Под новой категорией "укрытие" понимается защитное сооружение ГО,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Укрытия создаются для 3 групп лиц.</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Первая - работники организаций, не отнесенных к категориям по ГО, и население, проживающее на территориях, отнесенных к группам по ГО, находящихся за пределами зон возможного радиоактивного заражения (загрязнения) и возможных сильных разрушений.</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Вторая - работники дежурной смены и линейного персонала организаций, расположенных за пределами указанных зон, осуществляющих жизнеобеспечение населения и деятельность организаций, отнесенных к категориям по ГО.</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lastRenderedPageBreak/>
              <w:t>Третья - нетранспортабельные больные, находящиеся в учреждениях здравоохранения, расположенных в зонах возможных разрушений, а также обслуживающий их медперсонал.</w:t>
            </w:r>
          </w:p>
          <w:p w:rsidR="006270DD" w:rsidRPr="006270DD" w:rsidRDefault="006270DD" w:rsidP="006270DD">
            <w:pPr>
              <w:autoSpaceDE w:val="0"/>
              <w:autoSpaceDN w:val="0"/>
              <w:adjustRightInd w:val="0"/>
              <w:ind w:firstLine="540"/>
              <w:jc w:val="both"/>
              <w:rPr>
                <w:rFonts w:eastAsiaTheme="minorHAnsi"/>
                <w:bCs/>
                <w:lang w:eastAsia="en-US"/>
              </w:rPr>
            </w:pPr>
            <w:r w:rsidRPr="006270DD">
              <w:rPr>
                <w:rFonts w:eastAsiaTheme="minorHAnsi"/>
                <w:bCs/>
                <w:lang w:eastAsia="en-US"/>
              </w:rPr>
              <w:t>Указано, что объекты ГО могут в т. ч. создаваться за счет приспособления существующих, реконструируемых и вновь строящихся станций и линий метрополитенов.</w:t>
            </w:r>
          </w:p>
          <w:p w:rsidR="006E3925" w:rsidRPr="00660312" w:rsidRDefault="006E3925" w:rsidP="00660312">
            <w:pPr>
              <w:autoSpaceDE w:val="0"/>
              <w:autoSpaceDN w:val="0"/>
              <w:adjustRightInd w:val="0"/>
              <w:ind w:firstLine="540"/>
              <w:jc w:val="both"/>
              <w:rPr>
                <w:rFonts w:eastAsiaTheme="minorHAnsi"/>
                <w:bCs/>
                <w:lang w:eastAsia="en-US"/>
              </w:rPr>
            </w:pPr>
          </w:p>
        </w:tc>
        <w:tc>
          <w:tcPr>
            <w:tcW w:w="6700" w:type="dxa"/>
            <w:gridSpan w:val="2"/>
          </w:tcPr>
          <w:p w:rsidR="006270DD" w:rsidRPr="006270DD" w:rsidRDefault="006270DD" w:rsidP="006270DD">
            <w:r w:rsidRPr="006270DD">
              <w:lastRenderedPageBreak/>
              <w:t>Настоящее постановление вступает в силу по истечении 7 дней после дня его официального опубликования</w:t>
            </w:r>
          </w:p>
          <w:p w:rsidR="006270DD" w:rsidRPr="006270DD" w:rsidRDefault="006270DD" w:rsidP="006270DD"/>
          <w:p w:rsidR="006270DD" w:rsidRPr="006270DD" w:rsidRDefault="006270DD" w:rsidP="006270DD">
            <w:r w:rsidRPr="006270DD">
              <w:t>Текст постановления опубликован на "Официальном интернет-портале правовой информации" (www.pravo.gov.ru) 23 июля 2015 г., в Собрании законодательства Российской Федерации от 27 июля 2015 г. N 30 ст. 4608</w:t>
            </w:r>
          </w:p>
          <w:p w:rsidR="006270DD" w:rsidRPr="006270DD" w:rsidRDefault="006270DD" w:rsidP="006270DD"/>
          <w:p w:rsidR="006E3925" w:rsidRPr="00660312" w:rsidRDefault="006E3925" w:rsidP="00660312"/>
        </w:tc>
      </w:tr>
      <w:tr w:rsidR="00660312" w:rsidTr="00660312">
        <w:tc>
          <w:tcPr>
            <w:tcW w:w="704" w:type="dxa"/>
          </w:tcPr>
          <w:p w:rsidR="00660312" w:rsidRPr="00660312" w:rsidRDefault="00660312" w:rsidP="00660312">
            <w:pPr>
              <w:pStyle w:val="ab"/>
              <w:numPr>
                <w:ilvl w:val="0"/>
                <w:numId w:val="4"/>
              </w:numPr>
              <w:ind w:left="171" w:firstLine="0"/>
              <w:jc w:val="center"/>
              <w:rPr>
                <w:b/>
                <w:bCs/>
              </w:rPr>
            </w:pPr>
          </w:p>
        </w:tc>
        <w:tc>
          <w:tcPr>
            <w:tcW w:w="3045" w:type="dxa"/>
            <w:gridSpan w:val="2"/>
          </w:tcPr>
          <w:p w:rsidR="00660312" w:rsidRPr="00E17D8B" w:rsidRDefault="00E17D8B" w:rsidP="00D05291">
            <w:pPr>
              <w:jc w:val="both"/>
              <w:rPr>
                <w:b/>
                <w:bCs/>
              </w:rPr>
            </w:pPr>
            <w:r w:rsidRPr="00E17D8B">
              <w:rPr>
                <w:b/>
                <w:bCs/>
              </w:rPr>
              <w:t>Указ Президента РФ от 29 июля 2015 г. N 391 "Об отдельных специальных экономических мерах, применяемых в целях обеспечения безопасности Российской Федерации"</w:t>
            </w:r>
          </w:p>
        </w:tc>
        <w:tc>
          <w:tcPr>
            <w:tcW w:w="4290" w:type="dxa"/>
            <w:gridSpan w:val="3"/>
          </w:tcPr>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
                <w:bCs/>
                <w:lang w:eastAsia="en-US"/>
              </w:rPr>
              <w:t xml:space="preserve">С 6 августа начнут уничтожать </w:t>
            </w:r>
            <w:proofErr w:type="spellStart"/>
            <w:r w:rsidRPr="00E17D8B">
              <w:rPr>
                <w:rFonts w:eastAsiaTheme="minorHAnsi"/>
                <w:b/>
                <w:bCs/>
                <w:lang w:eastAsia="en-US"/>
              </w:rPr>
              <w:t>санкционную</w:t>
            </w:r>
            <w:proofErr w:type="spellEnd"/>
            <w:r w:rsidRPr="00E17D8B">
              <w:rPr>
                <w:rFonts w:eastAsiaTheme="minorHAnsi"/>
                <w:b/>
                <w:bCs/>
                <w:lang w:eastAsia="en-US"/>
              </w:rPr>
              <w:t xml:space="preserve"> сельхозпродукцию, попавшую в Россию.</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 xml:space="preserve">Ранее срок действия </w:t>
            </w:r>
            <w:proofErr w:type="spellStart"/>
            <w:r w:rsidRPr="00E17D8B">
              <w:rPr>
                <w:rFonts w:eastAsiaTheme="minorHAnsi"/>
                <w:bCs/>
                <w:lang w:eastAsia="en-US"/>
              </w:rPr>
              <w:t>контрсанкций</w:t>
            </w:r>
            <w:proofErr w:type="spellEnd"/>
            <w:r w:rsidRPr="00E17D8B">
              <w:rPr>
                <w:rFonts w:eastAsiaTheme="minorHAnsi"/>
                <w:bCs/>
                <w:lang w:eastAsia="en-US"/>
              </w:rPr>
              <w:t xml:space="preserve"> России был продлен до 6 августа 2016 г. Речь идет о запрете на ввоз в нашу страну отдельной с/х продукции, сырья и продовольствия, происходящих из США, стран Евросоюза, Канады, Австралии, Норвегии. В частности, это мясо КРС, свинина, рыба, молоко и молочная продукция, овощи, фрукты, орехи, колбасы, сыры, творог.</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Решено уничтожать такую продукцию, попавшую в Россию. Исключение - товары, ввезенные гражданами для личного пользования, а также транзитная продукция. В последнем случае требуется, чтобы ветеринарные и фитосанитарные сопроводительные документы были подлинными и соответ</w:t>
            </w:r>
            <w:r w:rsidRPr="00E17D8B">
              <w:rPr>
                <w:rFonts w:eastAsiaTheme="minorHAnsi"/>
                <w:bCs/>
                <w:lang w:eastAsia="en-US"/>
              </w:rPr>
              <w:lastRenderedPageBreak/>
              <w:t>ствовали грузу, а контролирующие органы уверены в том, что товары будут доставлены за пределы России.</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Указанные меры начнут действовать с 6 августа. Порядок уничтожения товаров установит Правительство РФ.</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Указ вступает в силу со дня подписания.</w:t>
            </w:r>
          </w:p>
          <w:p w:rsidR="00660312" w:rsidRPr="00660312" w:rsidRDefault="00660312" w:rsidP="00660312">
            <w:pPr>
              <w:autoSpaceDE w:val="0"/>
              <w:autoSpaceDN w:val="0"/>
              <w:adjustRightInd w:val="0"/>
              <w:ind w:firstLine="540"/>
              <w:jc w:val="both"/>
              <w:rPr>
                <w:rFonts w:eastAsiaTheme="minorHAnsi"/>
                <w:bCs/>
                <w:lang w:eastAsia="en-US"/>
              </w:rPr>
            </w:pPr>
          </w:p>
        </w:tc>
        <w:tc>
          <w:tcPr>
            <w:tcW w:w="6700" w:type="dxa"/>
            <w:gridSpan w:val="2"/>
          </w:tcPr>
          <w:p w:rsidR="00E17D8B" w:rsidRPr="00E17D8B" w:rsidRDefault="00E17D8B" w:rsidP="00E17D8B">
            <w:pPr>
              <w:jc w:val="both"/>
              <w:rPr>
                <w:bCs/>
              </w:rPr>
            </w:pPr>
            <w:r w:rsidRPr="00E17D8B">
              <w:rPr>
                <w:bCs/>
              </w:rPr>
              <w:lastRenderedPageBreak/>
              <w:t>Настоящий Указ вступает в силу со дня его подписания</w:t>
            </w:r>
          </w:p>
          <w:p w:rsidR="00E17D8B" w:rsidRPr="00E17D8B" w:rsidRDefault="00E17D8B" w:rsidP="00E17D8B">
            <w:pPr>
              <w:jc w:val="both"/>
              <w:rPr>
                <w:bCs/>
              </w:rPr>
            </w:pPr>
          </w:p>
          <w:p w:rsidR="00E17D8B" w:rsidRPr="00E17D8B" w:rsidRDefault="00E17D8B" w:rsidP="00E17D8B">
            <w:pPr>
              <w:jc w:val="both"/>
              <w:rPr>
                <w:bCs/>
              </w:rPr>
            </w:pPr>
            <w:r w:rsidRPr="00E17D8B">
              <w:rPr>
                <w:bCs/>
              </w:rPr>
              <w:t>Текст Указа опубликован на "Официальном интернет-портале правовой информации" (www.pravo.gov.ru) 30 июля 2015 г., в Собрании законодательства Российской Федерации от 3 августа 2015 г. N 31 ст. 4669</w:t>
            </w:r>
          </w:p>
          <w:p w:rsidR="00E17D8B" w:rsidRPr="00E17D8B" w:rsidRDefault="00E17D8B" w:rsidP="00E17D8B">
            <w:pPr>
              <w:jc w:val="both"/>
              <w:rPr>
                <w:bCs/>
              </w:rPr>
            </w:pPr>
          </w:p>
          <w:p w:rsidR="00660312" w:rsidRPr="00461B56" w:rsidRDefault="00660312" w:rsidP="00461B56">
            <w:pPr>
              <w:jc w:val="both"/>
              <w:rPr>
                <w:bCs/>
              </w:rPr>
            </w:pPr>
          </w:p>
        </w:tc>
      </w:tr>
      <w:tr w:rsidR="006E3925" w:rsidTr="00660312">
        <w:tc>
          <w:tcPr>
            <w:tcW w:w="704" w:type="dxa"/>
          </w:tcPr>
          <w:p w:rsidR="006E3925" w:rsidRPr="00461B56" w:rsidRDefault="00461B56" w:rsidP="005A483A">
            <w:pPr>
              <w:jc w:val="center"/>
              <w:rPr>
                <w:bCs/>
              </w:rPr>
            </w:pPr>
            <w:r w:rsidRPr="00461B56">
              <w:rPr>
                <w:bCs/>
              </w:rPr>
              <w:lastRenderedPageBreak/>
              <w:t>3.</w:t>
            </w:r>
          </w:p>
        </w:tc>
        <w:tc>
          <w:tcPr>
            <w:tcW w:w="3045" w:type="dxa"/>
            <w:gridSpan w:val="2"/>
          </w:tcPr>
          <w:p w:rsidR="006E3925" w:rsidRPr="00461B56" w:rsidRDefault="003A406D" w:rsidP="003A406D">
            <w:pPr>
              <w:jc w:val="both"/>
              <w:rPr>
                <w:bCs/>
              </w:rPr>
            </w:pPr>
            <w:r w:rsidRPr="003A406D">
              <w:rPr>
                <w:b/>
                <w:bCs/>
              </w:rPr>
              <w:t>Постановление Правительства РФ от 6 августа 2015 г. N 805 "О внесении изменений в Правила признания лица инвалидом"</w:t>
            </w:r>
          </w:p>
        </w:tc>
        <w:tc>
          <w:tcPr>
            <w:tcW w:w="4290" w:type="dxa"/>
            <w:gridSpan w:val="3"/>
          </w:tcPr>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
                <w:bCs/>
                <w:lang w:eastAsia="en-US"/>
              </w:rPr>
              <w:t>С 1 января 2016 г. группы инвалидности и категория "ребенок-инвалид" будут устанавливаться независимо от степени ограничения жизнедеятельности.</w:t>
            </w:r>
          </w:p>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Cs/>
                <w:lang w:eastAsia="en-US"/>
              </w:rPr>
              <w:t>Скорректированы Правила признания лица инвалидом.</w:t>
            </w:r>
          </w:p>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Cs/>
                <w:lang w:eastAsia="en-US"/>
              </w:rPr>
              <w:t>Теперь для установления групп инвалидности и категории "ребенок-инвалид" имеет значение степень выраженности стойких расстройств функций организма, возникших в результате заболеваний, последствий травм или дефектов, а не степень ограничения жизнедеятельности.</w:t>
            </w:r>
          </w:p>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Cs/>
                <w:lang w:eastAsia="en-US"/>
              </w:rPr>
              <w:t>Однако ограничение жизнедеятельности сохраняется в качестве одного из признаков инвалидности.</w:t>
            </w:r>
          </w:p>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Cs/>
                <w:lang w:eastAsia="en-US"/>
              </w:rPr>
              <w:t>Также введено понятие "</w:t>
            </w:r>
            <w:proofErr w:type="spellStart"/>
            <w:r w:rsidRPr="003A406D">
              <w:rPr>
                <w:rFonts w:eastAsiaTheme="minorHAnsi"/>
                <w:bCs/>
                <w:lang w:eastAsia="en-US"/>
              </w:rPr>
              <w:t>абилитация</w:t>
            </w:r>
            <w:proofErr w:type="spellEnd"/>
            <w:r w:rsidRPr="003A406D">
              <w:rPr>
                <w:rFonts w:eastAsiaTheme="minorHAnsi"/>
                <w:bCs/>
                <w:lang w:eastAsia="en-US"/>
              </w:rPr>
              <w:t>" и определен механизм ее применения в рамках создания единого реабилитационно-</w:t>
            </w:r>
            <w:proofErr w:type="spellStart"/>
            <w:r w:rsidRPr="003A406D">
              <w:rPr>
                <w:rFonts w:eastAsiaTheme="minorHAnsi"/>
                <w:bCs/>
                <w:lang w:eastAsia="en-US"/>
              </w:rPr>
              <w:t>абилитационного</w:t>
            </w:r>
            <w:proofErr w:type="spellEnd"/>
            <w:r w:rsidRPr="003A406D">
              <w:rPr>
                <w:rFonts w:eastAsiaTheme="minorHAnsi"/>
                <w:bCs/>
                <w:lang w:eastAsia="en-US"/>
              </w:rPr>
              <w:t xml:space="preserve"> процесса.</w:t>
            </w:r>
          </w:p>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Cs/>
                <w:lang w:eastAsia="en-US"/>
              </w:rPr>
              <w:lastRenderedPageBreak/>
              <w:t>Данные нововведения вступают в силу с 1 января 2016 г.</w:t>
            </w:r>
          </w:p>
          <w:p w:rsidR="003A406D" w:rsidRPr="003A406D" w:rsidRDefault="003A406D" w:rsidP="003A406D">
            <w:pPr>
              <w:autoSpaceDE w:val="0"/>
              <w:autoSpaceDN w:val="0"/>
              <w:adjustRightInd w:val="0"/>
              <w:ind w:firstLine="540"/>
              <w:jc w:val="both"/>
              <w:rPr>
                <w:rFonts w:eastAsiaTheme="minorHAnsi"/>
                <w:bCs/>
                <w:lang w:eastAsia="en-US"/>
              </w:rPr>
            </w:pPr>
            <w:r w:rsidRPr="003A406D">
              <w:rPr>
                <w:rFonts w:eastAsiaTheme="minorHAnsi"/>
                <w:bCs/>
                <w:lang w:eastAsia="en-US"/>
              </w:rPr>
              <w:t>Кроме того, наименования организаций, оказывающих медпомощь, приведены в соответствие с Законом об основах охраны здоровья граждан в России. Эти поправки вступают в силу со дня их официального опубликования.</w:t>
            </w:r>
          </w:p>
          <w:p w:rsidR="003A406D" w:rsidRPr="003A406D" w:rsidRDefault="003A406D" w:rsidP="003A406D">
            <w:pPr>
              <w:autoSpaceDE w:val="0"/>
              <w:autoSpaceDN w:val="0"/>
              <w:adjustRightInd w:val="0"/>
              <w:ind w:firstLine="540"/>
              <w:jc w:val="both"/>
              <w:rPr>
                <w:rFonts w:eastAsiaTheme="minorHAnsi"/>
                <w:bCs/>
                <w:lang w:eastAsia="en-US"/>
              </w:rPr>
            </w:pPr>
          </w:p>
          <w:p w:rsidR="006E3925" w:rsidRPr="00461B56" w:rsidRDefault="006E3925" w:rsidP="00461B56">
            <w:pPr>
              <w:autoSpaceDE w:val="0"/>
              <w:autoSpaceDN w:val="0"/>
              <w:adjustRightInd w:val="0"/>
              <w:ind w:firstLine="540"/>
              <w:jc w:val="both"/>
              <w:rPr>
                <w:rFonts w:eastAsiaTheme="minorHAnsi"/>
                <w:bCs/>
                <w:lang w:eastAsia="en-US"/>
              </w:rPr>
            </w:pPr>
          </w:p>
        </w:tc>
        <w:tc>
          <w:tcPr>
            <w:tcW w:w="6700" w:type="dxa"/>
            <w:gridSpan w:val="2"/>
          </w:tcPr>
          <w:p w:rsidR="003A406D" w:rsidRPr="003A406D" w:rsidRDefault="003A406D" w:rsidP="003A406D">
            <w:pPr>
              <w:jc w:val="both"/>
              <w:rPr>
                <w:bCs/>
              </w:rPr>
            </w:pPr>
            <w:r w:rsidRPr="003A406D">
              <w:rPr>
                <w:bCs/>
              </w:rPr>
              <w:lastRenderedPageBreak/>
              <w:t>Настоящее постановление вступает в силу с 1 января 2016 г., за исключением абзаца третьего подпункта "б" пункта 3, пункта 4, абзаца второго подпункта "а" пункта 5, пункта 6, подпункта "а" пункта 7, пунктов 8 - 10, пунктов 11 (в части, касающейся медицинских организаций) и 13 изменений, утвержденных настоящим постановлением, которые вступают в силу со дня его официального опубликования</w:t>
            </w:r>
          </w:p>
          <w:p w:rsidR="003A406D" w:rsidRPr="003A406D" w:rsidRDefault="003A406D" w:rsidP="003A406D">
            <w:pPr>
              <w:jc w:val="both"/>
              <w:rPr>
                <w:bCs/>
              </w:rPr>
            </w:pPr>
          </w:p>
          <w:p w:rsidR="003A406D" w:rsidRPr="003A406D" w:rsidRDefault="003A406D" w:rsidP="003A406D">
            <w:pPr>
              <w:jc w:val="both"/>
              <w:rPr>
                <w:bCs/>
              </w:rPr>
            </w:pPr>
            <w:r w:rsidRPr="003A406D">
              <w:rPr>
                <w:bCs/>
              </w:rPr>
              <w:t>Текст постановления опубликован на "Официальном интернет-портале правовой информации" (www.pravo.gov.ru) 11 августа 2015 г., в Собрании законодательства Российской Федерации от 17 августа 2015 г. N 33 ст. 4836</w:t>
            </w:r>
          </w:p>
          <w:p w:rsidR="003A406D" w:rsidRPr="003A406D" w:rsidRDefault="003A406D" w:rsidP="003A406D">
            <w:pPr>
              <w:jc w:val="both"/>
              <w:rPr>
                <w:b/>
                <w:bCs/>
              </w:rPr>
            </w:pPr>
          </w:p>
          <w:p w:rsidR="006E3925" w:rsidRPr="005B7836" w:rsidRDefault="006E3925" w:rsidP="00461B56">
            <w:pPr>
              <w:jc w:val="both"/>
              <w:rPr>
                <w:b/>
                <w:bCs/>
              </w:rPr>
            </w:pPr>
          </w:p>
        </w:tc>
      </w:tr>
      <w:tr w:rsidR="005B09B8" w:rsidTr="00660312">
        <w:tc>
          <w:tcPr>
            <w:tcW w:w="704" w:type="dxa"/>
          </w:tcPr>
          <w:p w:rsidR="005B09B8" w:rsidRPr="00DE4D17" w:rsidRDefault="005B09B8" w:rsidP="005B09B8">
            <w:pPr>
              <w:rPr>
                <w:bCs/>
              </w:rPr>
            </w:pPr>
            <w:r w:rsidRPr="00DE4D17">
              <w:rPr>
                <w:bCs/>
              </w:rPr>
              <w:lastRenderedPageBreak/>
              <w:t xml:space="preserve">  4.</w:t>
            </w:r>
          </w:p>
        </w:tc>
        <w:tc>
          <w:tcPr>
            <w:tcW w:w="3045" w:type="dxa"/>
            <w:gridSpan w:val="2"/>
          </w:tcPr>
          <w:p w:rsidR="005B09B8" w:rsidRPr="0041106B" w:rsidRDefault="005B09B8" w:rsidP="005B09B8">
            <w:pPr>
              <w:jc w:val="both"/>
              <w:rPr>
                <w:bCs/>
              </w:rPr>
            </w:pPr>
            <w:r w:rsidRPr="007D3565">
              <w:rPr>
                <w:b/>
                <w:bCs/>
              </w:rPr>
              <w:t>Приказ Министерства здравоохранения РФ от 2 июня 2015 г. N 290н "Об утверждении типовых отраслевых норм времени на выполнение работ, связанных с посещением одним пациентом врача-педиатра участкового, врача-терапевта участкового, врача общей практики (семейного врача), врача-невролога, врача-</w:t>
            </w:r>
            <w:proofErr w:type="spellStart"/>
            <w:r w:rsidRPr="007D3565">
              <w:rPr>
                <w:b/>
                <w:bCs/>
              </w:rPr>
              <w:t>оториноларинголога</w:t>
            </w:r>
            <w:proofErr w:type="spellEnd"/>
            <w:r w:rsidRPr="007D3565">
              <w:rPr>
                <w:b/>
                <w:bCs/>
              </w:rPr>
              <w:t>, врача-офтальмолога и врача-акушера-гинеколога"</w:t>
            </w:r>
          </w:p>
        </w:tc>
        <w:tc>
          <w:tcPr>
            <w:tcW w:w="4290" w:type="dxa"/>
            <w:gridSpan w:val="3"/>
          </w:tcPr>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
                <w:bCs/>
                <w:lang w:eastAsia="en-US"/>
              </w:rPr>
              <w:t>Сколько времени отводится на прием пациента врачом в поликлинике?</w:t>
            </w:r>
          </w:p>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 xml:space="preserve">Установлены нормы времени на посещение пациентом врача в поликлинике. Речь идет об участковых врачах (терапевтах, педиатрах, семейных) и врачах-специалистах (неврологе, </w:t>
            </w:r>
            <w:proofErr w:type="spellStart"/>
            <w:r w:rsidRPr="00351BC5">
              <w:rPr>
                <w:rFonts w:eastAsiaTheme="minorHAnsi"/>
                <w:bCs/>
                <w:lang w:eastAsia="en-US"/>
              </w:rPr>
              <w:t>оториноларингологе</w:t>
            </w:r>
            <w:proofErr w:type="spellEnd"/>
            <w:r w:rsidRPr="00351BC5">
              <w:rPr>
                <w:rFonts w:eastAsiaTheme="minorHAnsi"/>
                <w:bCs/>
                <w:lang w:eastAsia="en-US"/>
              </w:rPr>
              <w:t>, офтальмологе, акушере-гинекологе).</w:t>
            </w:r>
          </w:p>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Нормы времени применяются при оказании первичной врачебной и первичной специализированной медико-санитарной помощи в амбулаторных условиях (не предусматривающих круглосуточного медицинского наблюдения и лечения), в том числе при посещении врачом-специалистом пациента на дому.</w:t>
            </w:r>
          </w:p>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 xml:space="preserve">Так, на одно посещение пациентом в связи с заболеванием участкового </w:t>
            </w:r>
            <w:r w:rsidRPr="00351BC5">
              <w:rPr>
                <w:rFonts w:eastAsiaTheme="minorHAnsi"/>
                <w:bCs/>
                <w:lang w:eastAsia="en-US"/>
              </w:rPr>
              <w:lastRenderedPageBreak/>
              <w:t xml:space="preserve">врача-терапевта или педиатра отводится 15 минут, семейного врача - 18 минут, офтальмолога - 14 минут, </w:t>
            </w:r>
            <w:proofErr w:type="spellStart"/>
            <w:r w:rsidRPr="00351BC5">
              <w:rPr>
                <w:rFonts w:eastAsiaTheme="minorHAnsi"/>
                <w:bCs/>
                <w:lang w:eastAsia="en-US"/>
              </w:rPr>
              <w:t>оториноларинголога</w:t>
            </w:r>
            <w:proofErr w:type="spellEnd"/>
            <w:r w:rsidRPr="00351BC5">
              <w:rPr>
                <w:rFonts w:eastAsiaTheme="minorHAnsi"/>
                <w:bCs/>
                <w:lang w:eastAsia="en-US"/>
              </w:rPr>
              <w:t xml:space="preserve"> - 16 минут, невролога и акушера-гинеколога - 22 минуты. Нормы времени на повторное посещение в связи с болезнью и на посещение в целях профилактики несколько ниже.</w:t>
            </w:r>
          </w:p>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Оформление медицинской документации должно занимать не более 35% времени, отводимого на посещение.</w:t>
            </w:r>
          </w:p>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К нормам применяются корректирующие коэффициенты в зависимости от плотности проживания и половозрастного состава населения, уровня и структуры заболеваемости.</w:t>
            </w:r>
          </w:p>
          <w:p w:rsidR="005B09B8" w:rsidRPr="00351BC5"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На основе установленных норм рассчитывают нормы нагрузки, нормативы численности и иные нормы труда врачей.</w:t>
            </w:r>
          </w:p>
          <w:p w:rsidR="005B09B8" w:rsidRPr="009C6E34" w:rsidRDefault="005B09B8" w:rsidP="005B09B8">
            <w:pPr>
              <w:autoSpaceDE w:val="0"/>
              <w:autoSpaceDN w:val="0"/>
              <w:adjustRightInd w:val="0"/>
              <w:ind w:firstLine="540"/>
              <w:jc w:val="both"/>
              <w:rPr>
                <w:rFonts w:eastAsiaTheme="minorHAnsi"/>
                <w:bCs/>
                <w:lang w:eastAsia="en-US"/>
              </w:rPr>
            </w:pPr>
            <w:r w:rsidRPr="00351BC5">
              <w:rPr>
                <w:rFonts w:eastAsiaTheme="minorHAnsi"/>
                <w:bCs/>
                <w:lang w:eastAsia="en-US"/>
              </w:rPr>
              <w:t>Зарегистрировано в Минюсте РФ 24 августа 2015 г. Регистрационный N 38647.</w:t>
            </w:r>
          </w:p>
        </w:tc>
        <w:tc>
          <w:tcPr>
            <w:tcW w:w="6700" w:type="dxa"/>
            <w:gridSpan w:val="2"/>
          </w:tcPr>
          <w:p w:rsidR="005B09B8" w:rsidRPr="00351BC5" w:rsidRDefault="005B09B8" w:rsidP="005B09B8">
            <w:pPr>
              <w:jc w:val="both"/>
              <w:rPr>
                <w:bCs/>
              </w:rPr>
            </w:pPr>
            <w:r w:rsidRPr="00351BC5">
              <w:rPr>
                <w:bCs/>
              </w:rPr>
              <w:lastRenderedPageBreak/>
              <w:t>Настоящий приказ вступает в силу по истечении 10 дней после дня его официального опубликования</w:t>
            </w:r>
          </w:p>
          <w:p w:rsidR="005B09B8" w:rsidRPr="00351BC5" w:rsidRDefault="005B09B8" w:rsidP="005B09B8">
            <w:pPr>
              <w:jc w:val="both"/>
              <w:rPr>
                <w:bCs/>
              </w:rPr>
            </w:pPr>
          </w:p>
          <w:p w:rsidR="005B09B8" w:rsidRPr="00351BC5" w:rsidRDefault="005B09B8" w:rsidP="005B09B8">
            <w:pPr>
              <w:jc w:val="both"/>
              <w:rPr>
                <w:bCs/>
              </w:rPr>
            </w:pPr>
            <w:r w:rsidRPr="00351BC5">
              <w:rPr>
                <w:bCs/>
              </w:rPr>
              <w:t>Текст приказа опубликован на "Официальном интернет-портале правовой информации" (www.pravo.gov.ru) 25 августа 2015 г.</w:t>
            </w:r>
          </w:p>
          <w:p w:rsidR="005B09B8" w:rsidRPr="00351BC5" w:rsidRDefault="005B09B8" w:rsidP="005B09B8">
            <w:pPr>
              <w:jc w:val="both"/>
              <w:rPr>
                <w:bCs/>
              </w:rPr>
            </w:pPr>
          </w:p>
          <w:p w:rsidR="005B09B8" w:rsidRPr="0041106B" w:rsidRDefault="005B09B8" w:rsidP="005B09B8">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 xml:space="preserve">5. </w:t>
            </w:r>
          </w:p>
        </w:tc>
        <w:tc>
          <w:tcPr>
            <w:tcW w:w="3045" w:type="dxa"/>
            <w:gridSpan w:val="2"/>
          </w:tcPr>
          <w:p w:rsidR="00461B56" w:rsidRPr="00461B56" w:rsidRDefault="002165CC" w:rsidP="0041106B">
            <w:pPr>
              <w:jc w:val="both"/>
              <w:rPr>
                <w:bCs/>
              </w:rPr>
            </w:pPr>
            <w:r w:rsidRPr="002165CC">
              <w:rPr>
                <w:b/>
                <w:bCs/>
              </w:rPr>
              <w:t>Приказ Министерства здравоохранения РФ от 7 июля 2015 г. N 422ан "Об утверждении критериев оценки качества медицинской помощи"</w:t>
            </w:r>
          </w:p>
        </w:tc>
        <w:tc>
          <w:tcPr>
            <w:tcW w:w="4290" w:type="dxa"/>
            <w:gridSpan w:val="3"/>
          </w:tcPr>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Оцениваем качество медицинской помощи.</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Установлены критерии оценки качества медицинской помощи. Они сформированы на основе порядков оказания и стандартов медицинской помощи, а также клинических рекомендаций (протоколов лечения) по вопросам оказания медицинской помощи.</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lastRenderedPageBreak/>
              <w:t>Определены заболевания и состояния, при которых применяются критерии оценки качества медпомощи.</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Качество медицинской помощи включает совокупность характеристик, отражающих своевременность оказания медпомощи, правильность выбора методов профилактики, диагностики, лечения и реабилитации, степень достижения запланированного результата.</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Критерии позволяют оценить качество медицинской помощи, оказанной пациенту в амбулаторных, стационарных условиях и в условиях дневного стационара.</w:t>
            </w:r>
          </w:p>
          <w:p w:rsidR="00461B56" w:rsidRPr="00461B56" w:rsidRDefault="002165CC" w:rsidP="002165CC">
            <w:pPr>
              <w:autoSpaceDE w:val="0"/>
              <w:autoSpaceDN w:val="0"/>
              <w:adjustRightInd w:val="0"/>
              <w:ind w:firstLine="540"/>
              <w:jc w:val="both"/>
              <w:rPr>
                <w:rFonts w:eastAsiaTheme="minorHAnsi"/>
                <w:b/>
                <w:bCs/>
                <w:lang w:eastAsia="en-US"/>
              </w:rPr>
            </w:pPr>
            <w:r w:rsidRPr="002165CC">
              <w:rPr>
                <w:rFonts w:eastAsiaTheme="minorHAnsi"/>
                <w:bCs/>
                <w:lang w:eastAsia="en-US"/>
              </w:rPr>
              <w:t>Зарегистрировано в Минюсте РФ 13 августа 2015 г. Регистрационный N 38494.</w:t>
            </w:r>
          </w:p>
        </w:tc>
        <w:tc>
          <w:tcPr>
            <w:tcW w:w="6700" w:type="dxa"/>
            <w:gridSpan w:val="2"/>
          </w:tcPr>
          <w:p w:rsidR="002165CC" w:rsidRPr="002165CC" w:rsidRDefault="002165CC" w:rsidP="002165CC">
            <w:pPr>
              <w:jc w:val="both"/>
              <w:rPr>
                <w:bCs/>
              </w:rPr>
            </w:pPr>
            <w:r w:rsidRPr="002165CC">
              <w:rPr>
                <w:bCs/>
              </w:rPr>
              <w:lastRenderedPageBreak/>
              <w:t>Настоящий приказ вступает в силу по истечении 10 дней после дня его официального опубликования</w:t>
            </w:r>
          </w:p>
          <w:p w:rsidR="002165CC" w:rsidRPr="002165CC" w:rsidRDefault="002165CC" w:rsidP="002165CC">
            <w:pPr>
              <w:jc w:val="both"/>
              <w:rPr>
                <w:bCs/>
              </w:rPr>
            </w:pPr>
          </w:p>
          <w:p w:rsidR="002165CC" w:rsidRPr="002165CC" w:rsidRDefault="002165CC" w:rsidP="002165CC">
            <w:pPr>
              <w:jc w:val="both"/>
              <w:rPr>
                <w:bCs/>
              </w:rPr>
            </w:pPr>
            <w:r w:rsidRPr="002165CC">
              <w:rPr>
                <w:bCs/>
              </w:rPr>
              <w:t>Текст приказа опубликован на "Официальном интернет-портале правовой информации" (www.pravo.gov.ru) 14 августа 2015 г.</w:t>
            </w:r>
          </w:p>
          <w:p w:rsidR="002165CC" w:rsidRPr="002165CC" w:rsidRDefault="002165CC" w:rsidP="002165CC">
            <w:pPr>
              <w:jc w:val="both"/>
              <w:rPr>
                <w:bCs/>
              </w:rPr>
            </w:pP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6.</w:t>
            </w:r>
          </w:p>
        </w:tc>
        <w:tc>
          <w:tcPr>
            <w:tcW w:w="3045" w:type="dxa"/>
            <w:gridSpan w:val="2"/>
          </w:tcPr>
          <w:p w:rsidR="00461B56" w:rsidRPr="00461B56" w:rsidRDefault="002165CC" w:rsidP="002165CC">
            <w:pPr>
              <w:jc w:val="center"/>
              <w:rPr>
                <w:bCs/>
              </w:rPr>
            </w:pPr>
            <w:r w:rsidRPr="002165CC">
              <w:rPr>
                <w:b/>
                <w:bCs/>
              </w:rPr>
              <w:t xml:space="preserve">Приказ Фонда социального страхования РФ от 20 июля 2015 г. N 304 "О внесении изменений в приложение N 2 к приказу Фонда социального страхования Российской Федерации от 26 февраля 2015 г. N 59 "Об утверждении формы расчета по начисленным и уплаченным страховым взносам на обязательное социальное страхование на </w:t>
            </w:r>
            <w:r w:rsidRPr="002165CC">
              <w:rPr>
                <w:b/>
                <w:bCs/>
              </w:rPr>
              <w:lastRenderedPageBreak/>
              <w:t>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и Порядка ее заполнения"</w:t>
            </w:r>
          </w:p>
        </w:tc>
        <w:tc>
          <w:tcPr>
            <w:tcW w:w="4290" w:type="dxa"/>
            <w:gridSpan w:val="3"/>
          </w:tcPr>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lastRenderedPageBreak/>
              <w:t>Необязательность печати и иные новшества при заполнении формы 4 - ФСС.</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Скорректирован порядок заполнения формы 4 - ФСС.</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 xml:space="preserve">Основная часть изменений обусловлена отменой обязательности печати для </w:t>
            </w:r>
            <w:proofErr w:type="spellStart"/>
            <w:r w:rsidRPr="002165CC">
              <w:rPr>
                <w:rFonts w:eastAsiaTheme="minorHAnsi"/>
                <w:bCs/>
                <w:lang w:eastAsia="en-US"/>
              </w:rPr>
              <w:t>хозобществ</w:t>
            </w:r>
            <w:proofErr w:type="spellEnd"/>
            <w:r w:rsidRPr="002165CC">
              <w:rPr>
                <w:rFonts w:eastAsiaTheme="minorHAnsi"/>
                <w:bCs/>
                <w:lang w:eastAsia="en-US"/>
              </w:rPr>
              <w:t>. В связи с этим форма 4 - ФСС скрепляется печатью организации только при ее наличии.</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Также уточнен порядок заполнения на титульном листе поля "Численность работников" и раздела II "Расчет по начисленным, уплаченным страхо</w:t>
            </w:r>
            <w:r w:rsidRPr="002165CC">
              <w:rPr>
                <w:rFonts w:eastAsiaTheme="minorHAnsi"/>
                <w:bCs/>
                <w:lang w:eastAsia="en-US"/>
              </w:rPr>
              <w:lastRenderedPageBreak/>
              <w:t>вым взносам на обязательное социальное страхование от несчастных случаев на производстве и профессиональных заболеваний и расходов на выплату страхового обеспечения".</w:t>
            </w:r>
          </w:p>
          <w:p w:rsidR="00461B56"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Зарегистрировано в Минюсте РФ 12 августа 2015 г. Регистрационный N 38480.</w:t>
            </w:r>
          </w:p>
        </w:tc>
        <w:tc>
          <w:tcPr>
            <w:tcW w:w="6700" w:type="dxa"/>
            <w:gridSpan w:val="2"/>
          </w:tcPr>
          <w:p w:rsidR="002165CC" w:rsidRPr="002165CC" w:rsidRDefault="002165CC" w:rsidP="002165CC">
            <w:pPr>
              <w:jc w:val="both"/>
              <w:rPr>
                <w:bCs/>
              </w:rPr>
            </w:pPr>
            <w:r w:rsidRPr="002165CC">
              <w:rPr>
                <w:bCs/>
              </w:rPr>
              <w:lastRenderedPageBreak/>
              <w:t>Настоящий приказ вступает в силу по истечении 10 дней после дня его официального опубликования</w:t>
            </w:r>
          </w:p>
          <w:p w:rsidR="002165CC" w:rsidRPr="002165CC" w:rsidRDefault="002165CC" w:rsidP="002165CC">
            <w:pPr>
              <w:jc w:val="both"/>
              <w:rPr>
                <w:bCs/>
              </w:rPr>
            </w:pPr>
          </w:p>
          <w:p w:rsidR="002165CC" w:rsidRPr="002165CC" w:rsidRDefault="002165CC" w:rsidP="002165CC">
            <w:pPr>
              <w:jc w:val="both"/>
              <w:rPr>
                <w:bCs/>
              </w:rPr>
            </w:pPr>
            <w:r w:rsidRPr="002165CC">
              <w:rPr>
                <w:bCs/>
              </w:rPr>
              <w:t>Текст приказа опубликован на "Официальном интернет-портале правовой информации" (www.pravo.gov.ru) 14 августа 2015 г.</w:t>
            </w:r>
          </w:p>
          <w:p w:rsidR="002165CC" w:rsidRPr="002165CC" w:rsidRDefault="002165CC" w:rsidP="002165CC">
            <w:pPr>
              <w:jc w:val="both"/>
              <w:rPr>
                <w:bCs/>
              </w:rPr>
            </w:pP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7.</w:t>
            </w:r>
          </w:p>
        </w:tc>
        <w:tc>
          <w:tcPr>
            <w:tcW w:w="3045" w:type="dxa"/>
            <w:gridSpan w:val="2"/>
          </w:tcPr>
          <w:p w:rsidR="00461B56" w:rsidRPr="00461B56" w:rsidRDefault="00AE3B80" w:rsidP="00824781">
            <w:pPr>
              <w:jc w:val="both"/>
              <w:rPr>
                <w:bCs/>
              </w:rPr>
            </w:pPr>
            <w:r w:rsidRPr="00AE3B80">
              <w:rPr>
                <w:b/>
                <w:bCs/>
              </w:rPr>
              <w:t>Приказ Министерства труда и социальной защиты РФ от 7 июля 2015 г. N 439н "Об утверждении Правил по охране труда в жилищно-коммунальном хозяйстве"</w:t>
            </w:r>
          </w:p>
        </w:tc>
        <w:tc>
          <w:tcPr>
            <w:tcW w:w="4290" w:type="dxa"/>
            <w:gridSpan w:val="3"/>
          </w:tcPr>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Для дворников и сантехников прописали правила охраны труда.</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Впервые установлены правила по охране труда в жилищно-коммунальном хозяйстве.</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В них прописаны обязанности работодателя по обеспечению охраны труда работников, перечислены вредные и опасные производственные факторы.</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К выполнению работ в сфере ЖКХ допускаются только лица, прошедшие обучение по охране труда и проверку знаний требований охраны труда. Предусмотрены обязательные предварительные медосмотры для допуска к работам во вредных и опасных условиях труда.</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Работники должны быть обеспечены СИЗ.</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lastRenderedPageBreak/>
              <w:t>Работы повышенной опасности выполняются в соответствии с нарядом-допуском. Определен перечень таких работ. Приведены требования к оформлению наряда-допуска.</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Прописаны требования к зданиям, территориям, производственным помещениям, размещению оборудования и организации рабочих мест.</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Установлены правила выполнения различных видов работ. Так, при уборке улиц дворник должен быть одет в сигнальный жилет. При уборке проезжей части участки работ следует оградить дорожными знаками. При очистке крыш зданий от снега и льда необходимо оградить тротуар, выставить дежурного для предупреждения людей об опасности.</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Приказ вступает в силу через 3 месяца после его официального опубликования.</w:t>
            </w:r>
          </w:p>
          <w:p w:rsidR="00461B56" w:rsidRPr="00461B56" w:rsidRDefault="00AE3B80" w:rsidP="00AE3B80">
            <w:pPr>
              <w:autoSpaceDE w:val="0"/>
              <w:autoSpaceDN w:val="0"/>
              <w:adjustRightInd w:val="0"/>
              <w:ind w:firstLine="540"/>
              <w:jc w:val="both"/>
              <w:rPr>
                <w:rFonts w:eastAsiaTheme="minorHAnsi"/>
                <w:b/>
                <w:bCs/>
                <w:lang w:eastAsia="en-US"/>
              </w:rPr>
            </w:pPr>
            <w:r w:rsidRPr="00AE3B80">
              <w:rPr>
                <w:rFonts w:eastAsiaTheme="minorHAnsi"/>
                <w:bCs/>
                <w:lang w:eastAsia="en-US"/>
              </w:rPr>
              <w:t>Зарегистрировано в Минюсте РФ 11 августа 2015 г. Регистрационный N 38474.</w:t>
            </w:r>
          </w:p>
        </w:tc>
        <w:tc>
          <w:tcPr>
            <w:tcW w:w="6700" w:type="dxa"/>
            <w:gridSpan w:val="2"/>
          </w:tcPr>
          <w:p w:rsidR="00AE3B80" w:rsidRPr="00AE3B80" w:rsidRDefault="00AE3B80" w:rsidP="00AE3B80">
            <w:pPr>
              <w:jc w:val="both"/>
              <w:rPr>
                <w:bCs/>
              </w:rPr>
            </w:pPr>
            <w:r w:rsidRPr="00AE3B80">
              <w:rPr>
                <w:bCs/>
              </w:rPr>
              <w:lastRenderedPageBreak/>
              <w:t>Настоящий приказ вступает в силу по истечении трех месяцев после его официального опубликования</w:t>
            </w:r>
          </w:p>
          <w:p w:rsidR="00AE3B80" w:rsidRPr="00AE3B80" w:rsidRDefault="00AE3B80" w:rsidP="00AE3B80">
            <w:pPr>
              <w:jc w:val="both"/>
              <w:rPr>
                <w:bCs/>
              </w:rPr>
            </w:pPr>
          </w:p>
          <w:p w:rsidR="00AE3B80" w:rsidRPr="00AE3B80" w:rsidRDefault="00AE3B80" w:rsidP="00AE3B80">
            <w:pPr>
              <w:jc w:val="both"/>
              <w:rPr>
                <w:bCs/>
              </w:rPr>
            </w:pPr>
            <w:r w:rsidRPr="00AE3B80">
              <w:rPr>
                <w:bCs/>
              </w:rPr>
              <w:t>Текст приказа опубликован на "Официальном интернет-портале правовой информации" (www.pravo.gov.ru) 13 августа 2015 г.</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8.</w:t>
            </w:r>
          </w:p>
        </w:tc>
        <w:tc>
          <w:tcPr>
            <w:tcW w:w="3045" w:type="dxa"/>
            <w:gridSpan w:val="2"/>
          </w:tcPr>
          <w:p w:rsidR="00461B56" w:rsidRPr="00461B56" w:rsidRDefault="00AE3B80" w:rsidP="00AE3B80">
            <w:pPr>
              <w:jc w:val="both"/>
              <w:rPr>
                <w:bCs/>
              </w:rPr>
            </w:pPr>
            <w:r w:rsidRPr="00AE3B80">
              <w:rPr>
                <w:b/>
                <w:bCs/>
              </w:rPr>
              <w:t>Приказ Министерства экономического развития РФ от 3 июля 2015 г. N 436 "О внесении изменений в Порядок предоставления сведений, содержащихся в Едином государствен</w:t>
            </w:r>
            <w:r w:rsidRPr="00AE3B80">
              <w:rPr>
                <w:b/>
                <w:bCs/>
              </w:rPr>
              <w:lastRenderedPageBreak/>
              <w:t>ном реестре прав на недвижимое имущество и сделок с ним, утвержденный приказом Минэкономразвития России от 14 мая 2010 г. N 180"</w:t>
            </w:r>
          </w:p>
        </w:tc>
        <w:tc>
          <w:tcPr>
            <w:tcW w:w="4290" w:type="dxa"/>
            <w:gridSpan w:val="3"/>
          </w:tcPr>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lastRenderedPageBreak/>
              <w:t>Предоставление сведений из ЕГРП: что нового?</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Скорректирован Порядок предоставления сведений, содержащихся в ЕГРП.</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 xml:space="preserve">Уточнено, что порядок в т. ч. определяет правила направления копий правоустанавливающих и (или) иных </w:t>
            </w:r>
            <w:r w:rsidRPr="00AE3B80">
              <w:rPr>
                <w:rFonts w:eastAsiaTheme="minorHAnsi"/>
                <w:bCs/>
                <w:lang w:eastAsia="en-US"/>
              </w:rPr>
              <w:lastRenderedPageBreak/>
              <w:t>документов, помещенных в дела правоустанавливающих документов.</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Соответствующие запросы представляются в орган регистрации прав по месту нахождения объекта недвижимости.</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На основании одного запроса, представленного судами, правоохранительным органами, имеющими в производстве дела, связанные с объектами недвижимости и (или) их правообладателями, могут быть представлены копии нескольких материалов, помещенных в дела правоустанавливающих документов.</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Запрос органа власти может быть направлен в целях выявления правообладателей земельных участков и (или) расположенных на них объектов недвижимости, подлежащих изъятию для государственных или муниципальных нужд.</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Закреплено, что в таких случаях в запросе дополнительно указываются слова "выявление правообладателей объектов недвижимости, подлежащих изъятию для государственных или муниципальных нужд".</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 xml:space="preserve">Некоторые сведения предоставляются по электронному запросу нотариуса в автоматизированном режиме. </w:t>
            </w:r>
            <w:r w:rsidRPr="00AE3B80">
              <w:rPr>
                <w:rFonts w:eastAsiaTheme="minorHAnsi"/>
                <w:bCs/>
                <w:lang w:eastAsia="en-US"/>
              </w:rPr>
              <w:lastRenderedPageBreak/>
              <w:t>Указано, что это делается незамедлительно, но не позднее следующего рабочего дня после направления запроса.</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Форма запроса изложена в новой редакции.</w:t>
            </w:r>
          </w:p>
          <w:p w:rsidR="00AE3B80" w:rsidRPr="00AE3B80" w:rsidRDefault="00AE3B80" w:rsidP="00AE3B80">
            <w:pPr>
              <w:autoSpaceDE w:val="0"/>
              <w:autoSpaceDN w:val="0"/>
              <w:adjustRightInd w:val="0"/>
              <w:ind w:firstLine="540"/>
              <w:jc w:val="both"/>
              <w:rPr>
                <w:rFonts w:eastAsiaTheme="minorHAnsi"/>
                <w:bCs/>
                <w:lang w:eastAsia="en-US"/>
              </w:rPr>
            </w:pPr>
            <w:r w:rsidRPr="00AE3B80">
              <w:rPr>
                <w:rFonts w:eastAsiaTheme="minorHAnsi"/>
                <w:bCs/>
                <w:lang w:eastAsia="en-US"/>
              </w:rPr>
              <w:t>Зарегистрировано в Минюсте РФ 13 августа 2015 г. Регистрационный N 38516.</w:t>
            </w:r>
          </w:p>
          <w:p w:rsidR="00AE3B80" w:rsidRPr="00AE3B80" w:rsidRDefault="00AE3B80" w:rsidP="00AE3B80">
            <w:pPr>
              <w:autoSpaceDE w:val="0"/>
              <w:autoSpaceDN w:val="0"/>
              <w:adjustRightInd w:val="0"/>
              <w:ind w:firstLine="540"/>
              <w:jc w:val="both"/>
              <w:rPr>
                <w:rFonts w:eastAsiaTheme="minorHAnsi"/>
                <w:b/>
                <w:bCs/>
                <w:lang w:eastAsia="en-US"/>
              </w:rPr>
            </w:pPr>
          </w:p>
          <w:p w:rsidR="00461B56" w:rsidRPr="00461B56" w:rsidRDefault="00461B56" w:rsidP="00461B56">
            <w:pPr>
              <w:autoSpaceDE w:val="0"/>
              <w:autoSpaceDN w:val="0"/>
              <w:adjustRightInd w:val="0"/>
              <w:ind w:firstLine="540"/>
              <w:jc w:val="both"/>
              <w:rPr>
                <w:rFonts w:eastAsiaTheme="minorHAnsi"/>
                <w:b/>
                <w:bCs/>
                <w:lang w:eastAsia="en-US"/>
              </w:rPr>
            </w:pPr>
          </w:p>
        </w:tc>
        <w:tc>
          <w:tcPr>
            <w:tcW w:w="6700" w:type="dxa"/>
            <w:gridSpan w:val="2"/>
          </w:tcPr>
          <w:p w:rsidR="00AE3B80" w:rsidRPr="00AE3B80" w:rsidRDefault="00AE3B80" w:rsidP="00AE3B80">
            <w:pPr>
              <w:jc w:val="both"/>
              <w:rPr>
                <w:bCs/>
              </w:rPr>
            </w:pPr>
            <w:r w:rsidRPr="00AE3B80">
              <w:rPr>
                <w:bCs/>
              </w:rPr>
              <w:lastRenderedPageBreak/>
              <w:t>Настоящий приказ вступает в силу по истечении 10 дней после дня его официального опубликования</w:t>
            </w:r>
          </w:p>
          <w:p w:rsidR="00AE3B80" w:rsidRPr="00AE3B80" w:rsidRDefault="00AE3B80" w:rsidP="00AE3B80">
            <w:pPr>
              <w:jc w:val="both"/>
              <w:rPr>
                <w:bCs/>
              </w:rPr>
            </w:pPr>
          </w:p>
          <w:p w:rsidR="00AE3B80" w:rsidRPr="00AE3B80" w:rsidRDefault="00AE3B80" w:rsidP="00AE3B80">
            <w:pPr>
              <w:jc w:val="both"/>
              <w:rPr>
                <w:bCs/>
              </w:rPr>
            </w:pPr>
            <w:r w:rsidRPr="00AE3B80">
              <w:rPr>
                <w:bCs/>
              </w:rPr>
              <w:t>Текст приказа опубликован на "Официальном интернет-портале правовой информации" (www.pravo.gov.ru) 18 августа 2015 г.</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9.</w:t>
            </w:r>
          </w:p>
        </w:tc>
        <w:tc>
          <w:tcPr>
            <w:tcW w:w="3045" w:type="dxa"/>
            <w:gridSpan w:val="2"/>
          </w:tcPr>
          <w:p w:rsidR="00E17D8B" w:rsidRPr="00E17D8B" w:rsidRDefault="00E17D8B" w:rsidP="00E17D8B">
            <w:pPr>
              <w:jc w:val="both"/>
              <w:rPr>
                <w:bCs/>
              </w:rPr>
            </w:pPr>
            <w:r w:rsidRPr="00E17D8B">
              <w:rPr>
                <w:b/>
                <w:bCs/>
              </w:rPr>
              <w:t>Приказ Министерства культуры РФ от 9 июня 2015 г. N 1762 "Об утверждении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17D8B" w:rsidRPr="00E17D8B" w:rsidRDefault="00E17D8B" w:rsidP="00E17D8B">
            <w:pPr>
              <w:jc w:val="both"/>
              <w:rPr>
                <w:bCs/>
              </w:rPr>
            </w:pPr>
          </w:p>
          <w:p w:rsidR="00461B56" w:rsidRPr="00461B56" w:rsidRDefault="00461B56" w:rsidP="009C6E34">
            <w:pPr>
              <w:jc w:val="both"/>
              <w:rPr>
                <w:bCs/>
              </w:rPr>
            </w:pPr>
          </w:p>
        </w:tc>
        <w:tc>
          <w:tcPr>
            <w:tcW w:w="4290" w:type="dxa"/>
            <w:gridSpan w:val="3"/>
          </w:tcPr>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
                <w:bCs/>
                <w:lang w:eastAsia="en-US"/>
              </w:rPr>
              <w:t>Прописана методика определения нормативных затрат на оказание государственных (муниципальных) услуг в сфере культуры.</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Установлены правила определения нормативных затрат на оказание государственных (муниципальных) услуг в сфере культуры, кинематографии и архивного дела.</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Нормативные затраты определяются исходя из показателей отраслевой специфики на основе базового норматива затрат и корректирующих коэффициентов к нему.</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Базовый норматив состоит из норматива затрат, непосредственно связанных с оказанием услуги, и норматива затрат на общехозяйственные нужды. Приведены состав указанных затрат, порядок их расчета и утверждения.</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 xml:space="preserve">При определении базового норматива затрат применяются нормы в натуральных показателях, установленные </w:t>
            </w:r>
            <w:r w:rsidRPr="00E17D8B">
              <w:rPr>
                <w:rFonts w:eastAsiaTheme="minorHAnsi"/>
                <w:bCs/>
                <w:lang w:eastAsia="en-US"/>
              </w:rPr>
              <w:lastRenderedPageBreak/>
              <w:t>стандартом оказания услуги. При их отсутствии для определения таких норм может использоваться метод наиболее эффективного учреждения, медианный либо иной метод.</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Корректирующие коэффициенты состоят из территориального (корректирующий коэффициент на оплату труда с начислениями и коэффициент на коммунальные услуги и на содержание недвижимого имущества) и отраслевого.</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Рассчитанные нормативные затраты не могут превышать объем бюджетных ассигнований, предусмотренных законом (решением) о бюджете на очередной финансовый год (очередной финансовый год и плановый период) на финансирование государственного (муниципального) задания.</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Нормативные затраты, исчисленные с учетом указанных правил, применяются при расчете объема субсидии на выполнение государственного (муниципального) задания, начиная с заданий на 2016 г. (на 2016 г. и плановый период 2017-2018 гг.).</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 xml:space="preserve">Значения базовых нормативов затрат и отраслевых корректирующих коэффициентов для федеральных учреждений утверждаются их учредителями </w:t>
            </w:r>
            <w:r w:rsidRPr="00E17D8B">
              <w:rPr>
                <w:rFonts w:eastAsiaTheme="minorHAnsi"/>
                <w:bCs/>
                <w:lang w:eastAsia="en-US"/>
              </w:rPr>
              <w:lastRenderedPageBreak/>
              <w:t xml:space="preserve">не позднее срока формирования </w:t>
            </w:r>
            <w:proofErr w:type="spellStart"/>
            <w:r w:rsidRPr="00E17D8B">
              <w:rPr>
                <w:rFonts w:eastAsiaTheme="minorHAnsi"/>
                <w:bCs/>
                <w:lang w:eastAsia="en-US"/>
              </w:rPr>
              <w:t>госзаданий</w:t>
            </w:r>
            <w:proofErr w:type="spellEnd"/>
            <w:r w:rsidRPr="00E17D8B">
              <w:rPr>
                <w:rFonts w:eastAsiaTheme="minorHAnsi"/>
                <w:bCs/>
                <w:lang w:eastAsia="en-US"/>
              </w:rPr>
              <w:t xml:space="preserve"> на 2018 г. и плановый период 2019-2020 гг.</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Региональным и местным властям рекомендовано предусмотреть (при необходимости) на переходный период, но не позднее срока формирования заданий на 2018 г. (на 2018 г. и плановый период 2019-2020 гг.) поэтапное применение отдельных нормативных затрат.</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Зарегистрировано в Минюсте РФ 27 июля 2015 г. Регистрационный N 38207.</w:t>
            </w:r>
          </w:p>
          <w:p w:rsidR="00E17D8B" w:rsidRPr="00E17D8B" w:rsidRDefault="00E17D8B" w:rsidP="00E17D8B">
            <w:pPr>
              <w:autoSpaceDE w:val="0"/>
              <w:autoSpaceDN w:val="0"/>
              <w:adjustRightInd w:val="0"/>
              <w:ind w:firstLine="540"/>
              <w:jc w:val="both"/>
              <w:rPr>
                <w:rFonts w:eastAsiaTheme="minorHAnsi"/>
                <w:bCs/>
                <w:lang w:eastAsia="en-US"/>
              </w:rPr>
            </w:pPr>
          </w:p>
          <w:p w:rsidR="00461B56" w:rsidRPr="009C6E34" w:rsidRDefault="00461B56" w:rsidP="00461B56">
            <w:pPr>
              <w:autoSpaceDE w:val="0"/>
              <w:autoSpaceDN w:val="0"/>
              <w:adjustRightInd w:val="0"/>
              <w:ind w:firstLine="540"/>
              <w:jc w:val="both"/>
              <w:rPr>
                <w:rFonts w:eastAsiaTheme="minorHAnsi"/>
                <w:bCs/>
                <w:lang w:eastAsia="en-US"/>
              </w:rPr>
            </w:pPr>
          </w:p>
        </w:tc>
        <w:tc>
          <w:tcPr>
            <w:tcW w:w="6700" w:type="dxa"/>
            <w:gridSpan w:val="2"/>
          </w:tcPr>
          <w:p w:rsidR="00E17D8B" w:rsidRPr="00E17D8B" w:rsidRDefault="00E17D8B" w:rsidP="00E17D8B">
            <w:pPr>
              <w:jc w:val="both"/>
              <w:rPr>
                <w:bCs/>
              </w:rPr>
            </w:pPr>
            <w:r w:rsidRPr="00E17D8B">
              <w:rPr>
                <w:bCs/>
              </w:rPr>
              <w:lastRenderedPageBreak/>
              <w:t>Настоящий приказ вступает в силу по истечении 10 дней после дня его официального опубликования</w:t>
            </w:r>
          </w:p>
          <w:p w:rsidR="00E17D8B" w:rsidRPr="00E17D8B" w:rsidRDefault="00E17D8B" w:rsidP="00E17D8B">
            <w:pPr>
              <w:jc w:val="both"/>
              <w:rPr>
                <w:bCs/>
              </w:rPr>
            </w:pPr>
          </w:p>
          <w:p w:rsidR="00E17D8B" w:rsidRPr="00E17D8B" w:rsidRDefault="00E17D8B" w:rsidP="00E17D8B">
            <w:pPr>
              <w:jc w:val="both"/>
              <w:rPr>
                <w:bCs/>
              </w:rPr>
            </w:pPr>
            <w:r w:rsidRPr="00E17D8B">
              <w:rPr>
                <w:bCs/>
              </w:rPr>
              <w:t>Текст приказа опубликован на "Официальном интернет-портале правовой информации" (www.pravo.gov.ru) 30 июля 2015 г.</w:t>
            </w:r>
          </w:p>
          <w:p w:rsidR="00461B56" w:rsidRPr="00461B56" w:rsidRDefault="00461B56" w:rsidP="00461B56">
            <w:pPr>
              <w:jc w:val="both"/>
              <w:rPr>
                <w:bCs/>
              </w:rPr>
            </w:pPr>
          </w:p>
        </w:tc>
      </w:tr>
      <w:tr w:rsidR="00461B56" w:rsidTr="00660312">
        <w:tc>
          <w:tcPr>
            <w:tcW w:w="704" w:type="dxa"/>
          </w:tcPr>
          <w:p w:rsidR="00461B56" w:rsidRPr="00DE4D17" w:rsidRDefault="00461B56" w:rsidP="00461B56">
            <w:pPr>
              <w:jc w:val="center"/>
              <w:rPr>
                <w:bCs/>
              </w:rPr>
            </w:pPr>
            <w:r w:rsidRPr="00DE4D17">
              <w:rPr>
                <w:bCs/>
              </w:rPr>
              <w:lastRenderedPageBreak/>
              <w:t>10</w:t>
            </w:r>
            <w:r w:rsidR="00DE4D17" w:rsidRPr="00DE4D17">
              <w:rPr>
                <w:bCs/>
              </w:rPr>
              <w:t>.</w:t>
            </w:r>
          </w:p>
        </w:tc>
        <w:tc>
          <w:tcPr>
            <w:tcW w:w="3045" w:type="dxa"/>
            <w:gridSpan w:val="2"/>
          </w:tcPr>
          <w:p w:rsidR="00E17D8B" w:rsidRPr="00E17D8B" w:rsidRDefault="00E17D8B" w:rsidP="00E17D8B">
            <w:pPr>
              <w:jc w:val="both"/>
              <w:rPr>
                <w:bCs/>
              </w:rPr>
            </w:pPr>
            <w:r w:rsidRPr="00E17D8B">
              <w:rPr>
                <w:b/>
                <w:bCs/>
              </w:rPr>
              <w:t>Приказ Минфина России от 1 июля 2015 г. N 104н "Об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отнесенных к иным видам деятельности, применяемых при расчете объема финансового обеспечения выполнения государ</w:t>
            </w:r>
            <w:r w:rsidRPr="00E17D8B">
              <w:rPr>
                <w:b/>
                <w:bCs/>
              </w:rPr>
              <w:lastRenderedPageBreak/>
              <w:t>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17D8B" w:rsidRPr="00E17D8B" w:rsidRDefault="00E17D8B" w:rsidP="00E17D8B">
            <w:pPr>
              <w:jc w:val="center"/>
              <w:rPr>
                <w:bCs/>
              </w:rPr>
            </w:pPr>
          </w:p>
          <w:p w:rsidR="00461B56" w:rsidRPr="00461B56" w:rsidRDefault="00461B56" w:rsidP="00461B56">
            <w:pPr>
              <w:jc w:val="center"/>
              <w:rPr>
                <w:bCs/>
              </w:rPr>
            </w:pPr>
          </w:p>
        </w:tc>
        <w:tc>
          <w:tcPr>
            <w:tcW w:w="4290" w:type="dxa"/>
            <w:gridSpan w:val="3"/>
          </w:tcPr>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
                <w:bCs/>
                <w:lang w:eastAsia="en-US"/>
              </w:rPr>
              <w:lastRenderedPageBreak/>
              <w:t>Минфин утвердил алгоритм расчета нормативных затрат на оказание государственных (муниципальных) услуг.</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Установлены правила определения нормативных затрат на оказание государственных (муниципальных) услуг, осуществление которых предусмотрено бюджетным законодательством России и не отнесенных к иным видам деятельности.</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Нормативные затраты применяются при расчете объема финансового обеспечения выполнения государственного (муниципального) задания на оказание соответствующих услуг (выполнение работ) государственным (муниципальным) учреждением.</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lastRenderedPageBreak/>
              <w:t>Они определяются исходя из содержащихся в базовом (отраслевом) перечне государственных и муниципальных услуг и работ информации о единице показателя, характеризующего объем услуги, и показателей, отражающих содержание и (или) условия (формы) ее оказания.</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Также учитываются базовый норматив затрат и корректирующие коэффициенты к нему, определяемые в соответствии с порядками, принятыми Правительством РФ, высшим исполнительным органом региона, местной администрацией.</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Выделяют базовый норматив затрат, непосредственно связанных с оказанием государственной (муниципальной) услуги, и базовый норматив затрат на общехозяйственные нужды на предоставление услуги.</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Первый, в частности, включает затраты на оплату труда (в т. ч. обязательные страховые взносы), на приобретение материальных запасов и особо ценного движимого имущества, потребляемого (используемого) в процессе оказания государственной (муниципальной) услуги.</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Второй составляют затраты на коммунальные услуги, на содержание недвижимости, на приобретение услуг связи и пр.</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lastRenderedPageBreak/>
              <w:t>Приказ применяется при формировании государственных (муниципальных) заданий на 2016 и последующие годы.</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Зарегистрировано в Минюсте РФ 30 июля 2015 г. Регистрационный N 38263.</w:t>
            </w:r>
          </w:p>
          <w:p w:rsidR="00E17D8B" w:rsidRPr="00E17D8B" w:rsidRDefault="00E17D8B" w:rsidP="00E17D8B">
            <w:pPr>
              <w:autoSpaceDE w:val="0"/>
              <w:autoSpaceDN w:val="0"/>
              <w:adjustRightInd w:val="0"/>
              <w:ind w:firstLine="540"/>
              <w:jc w:val="both"/>
              <w:rPr>
                <w:rFonts w:eastAsiaTheme="minorHAnsi"/>
                <w:bCs/>
                <w:lang w:eastAsia="en-US"/>
              </w:rPr>
            </w:pPr>
          </w:p>
          <w:p w:rsidR="00461B56" w:rsidRPr="009C6E34" w:rsidRDefault="00461B56" w:rsidP="00461B56">
            <w:pPr>
              <w:autoSpaceDE w:val="0"/>
              <w:autoSpaceDN w:val="0"/>
              <w:adjustRightInd w:val="0"/>
              <w:ind w:firstLine="540"/>
              <w:jc w:val="both"/>
              <w:rPr>
                <w:rFonts w:eastAsiaTheme="minorHAnsi"/>
                <w:bCs/>
                <w:lang w:eastAsia="en-US"/>
              </w:rPr>
            </w:pPr>
          </w:p>
        </w:tc>
        <w:tc>
          <w:tcPr>
            <w:tcW w:w="6700" w:type="dxa"/>
            <w:gridSpan w:val="2"/>
          </w:tcPr>
          <w:p w:rsidR="00E17D8B" w:rsidRPr="00E17D8B" w:rsidRDefault="00E17D8B" w:rsidP="00E17D8B">
            <w:pPr>
              <w:jc w:val="both"/>
              <w:rPr>
                <w:bCs/>
              </w:rPr>
            </w:pPr>
            <w:r w:rsidRPr="00E17D8B">
              <w:rPr>
                <w:bCs/>
              </w:rPr>
              <w:lastRenderedPageBreak/>
              <w:t>Настоящий приказ вступает в силу по истечении 10 дней после дня его официального опубликования</w:t>
            </w:r>
          </w:p>
          <w:p w:rsidR="00E17D8B" w:rsidRPr="00E17D8B" w:rsidRDefault="00E17D8B" w:rsidP="00E17D8B">
            <w:pPr>
              <w:jc w:val="both"/>
              <w:rPr>
                <w:bCs/>
              </w:rPr>
            </w:pPr>
          </w:p>
          <w:p w:rsidR="00E17D8B" w:rsidRPr="00E17D8B" w:rsidRDefault="00E17D8B" w:rsidP="00E17D8B">
            <w:pPr>
              <w:jc w:val="both"/>
              <w:rPr>
                <w:bCs/>
              </w:rPr>
            </w:pPr>
            <w:r w:rsidRPr="00E17D8B">
              <w:rPr>
                <w:bCs/>
              </w:rPr>
              <w:t>Текст приказа опубликован на "Официальном интернет-портале правовой информации" (www.pravo.gov.ru) 3 августа 2015 г.</w:t>
            </w:r>
          </w:p>
          <w:p w:rsidR="00E17D8B" w:rsidRPr="00E17D8B" w:rsidRDefault="00E17D8B" w:rsidP="00E17D8B">
            <w:pPr>
              <w:jc w:val="both"/>
              <w:rPr>
                <w:bCs/>
              </w:rPr>
            </w:pPr>
          </w:p>
          <w:p w:rsidR="00461B56" w:rsidRPr="00461B56" w:rsidRDefault="00461B56" w:rsidP="00461B56">
            <w:pPr>
              <w:jc w:val="both"/>
              <w:rPr>
                <w:bCs/>
              </w:rPr>
            </w:pPr>
          </w:p>
        </w:tc>
      </w:tr>
      <w:tr w:rsidR="00DE4D17" w:rsidTr="00536C5C">
        <w:trPr>
          <w:trHeight w:val="70"/>
        </w:trPr>
        <w:tc>
          <w:tcPr>
            <w:tcW w:w="704" w:type="dxa"/>
          </w:tcPr>
          <w:p w:rsidR="00DE4D17" w:rsidRPr="00DE4D17" w:rsidRDefault="00DE4D17" w:rsidP="00461B56">
            <w:pPr>
              <w:jc w:val="center"/>
              <w:rPr>
                <w:bCs/>
              </w:rPr>
            </w:pPr>
            <w:r w:rsidRPr="00DE4D17">
              <w:rPr>
                <w:bCs/>
              </w:rPr>
              <w:lastRenderedPageBreak/>
              <w:t xml:space="preserve">11. </w:t>
            </w:r>
          </w:p>
        </w:tc>
        <w:tc>
          <w:tcPr>
            <w:tcW w:w="3045" w:type="dxa"/>
            <w:gridSpan w:val="2"/>
          </w:tcPr>
          <w:p w:rsidR="00DE4D17" w:rsidRPr="00461B56" w:rsidRDefault="00E17D8B" w:rsidP="00E17D8B">
            <w:pPr>
              <w:jc w:val="both"/>
              <w:rPr>
                <w:bCs/>
              </w:rPr>
            </w:pPr>
            <w:r w:rsidRPr="00E17D8B">
              <w:rPr>
                <w:b/>
                <w:bCs/>
              </w:rPr>
              <w:t>Приказ Федеральной налоговой службы от 30 июня 2015 г. N ММВ-7-17/260@ "Об утверждении порядка ведения личного кабинета налогоплательщика"</w:t>
            </w:r>
          </w:p>
        </w:tc>
        <w:tc>
          <w:tcPr>
            <w:tcW w:w="4290" w:type="dxa"/>
            <w:gridSpan w:val="3"/>
          </w:tcPr>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
                <w:bCs/>
                <w:lang w:eastAsia="en-US"/>
              </w:rPr>
              <w:t>Личный кабинет налогоплательщика - физлица: инструкция по применению.</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Граждане могут взаимодействовать с налоговой инспекцией в т. ч. через личный кабинет налогоплательщика, размещенный на официальном сайте ФНС России. Установлен порядок его ведения.</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 xml:space="preserve">Открыть личный кабинет можно 3 способами. Во-первых, с помощью логина и пароля, указанных в регистрационной карте (ее можно получить, лично обратившись в любой налоговый орган). Во-вторых, при наличии у налогоплательщика усиленной квалифицированной электронной подписи (универсальной электронной карты). И, наконец, доступ к личному кабинету также имеют зарегистрированные пользователи Единого портала </w:t>
            </w:r>
            <w:proofErr w:type="spellStart"/>
            <w:r w:rsidRPr="00E17D8B">
              <w:rPr>
                <w:rFonts w:eastAsiaTheme="minorHAnsi"/>
                <w:bCs/>
                <w:lang w:eastAsia="en-US"/>
              </w:rPr>
              <w:t>госуслуг</w:t>
            </w:r>
            <w:proofErr w:type="spellEnd"/>
            <w:r w:rsidRPr="00E17D8B">
              <w:rPr>
                <w:rFonts w:eastAsiaTheme="minorHAnsi"/>
                <w:bCs/>
                <w:lang w:eastAsia="en-US"/>
              </w:rPr>
              <w:t>.</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Подробно прописана каждая из указанных процедур.</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lastRenderedPageBreak/>
              <w:t>Личный кабинет налогоплательщика, в частности, позволяет пользователю дистанционно получать актуальную информацию об объектах имущества и транспортных средствах, о суммах начисленных и уплаченных налогов, о задолженности перед бюджетом, о ходе проведения и результатах камеральной проверки декларации по НДФЛ. С его помощью можно получать налоговые уведомления, вносить налоговые платежи, заполнять и направлять декларацию по НДФЛ, обращаться в налоговые органы без личного визита и пр.</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Закреплены правила передачи через личный кабинет в налоговый орган документов (информации).</w:t>
            </w:r>
          </w:p>
          <w:p w:rsidR="00E17D8B" w:rsidRPr="00E17D8B" w:rsidRDefault="00E17D8B" w:rsidP="00E17D8B">
            <w:pPr>
              <w:autoSpaceDE w:val="0"/>
              <w:autoSpaceDN w:val="0"/>
              <w:adjustRightInd w:val="0"/>
              <w:ind w:firstLine="540"/>
              <w:jc w:val="both"/>
              <w:rPr>
                <w:rFonts w:eastAsiaTheme="minorHAnsi"/>
                <w:bCs/>
                <w:lang w:eastAsia="en-US"/>
              </w:rPr>
            </w:pPr>
            <w:r w:rsidRPr="00E17D8B">
              <w:rPr>
                <w:rFonts w:eastAsiaTheme="minorHAnsi"/>
                <w:bCs/>
                <w:lang w:eastAsia="en-US"/>
              </w:rPr>
              <w:t>Так, направляемые налогоплательщиком материалы должны быть заверены усиленной квалифицированной (неквалифицированной) электронной подписью.</w:t>
            </w:r>
          </w:p>
          <w:p w:rsidR="00E17D8B" w:rsidRPr="00E17D8B" w:rsidRDefault="00E17D8B" w:rsidP="00536C5C">
            <w:pPr>
              <w:autoSpaceDE w:val="0"/>
              <w:autoSpaceDN w:val="0"/>
              <w:adjustRightInd w:val="0"/>
              <w:ind w:firstLine="540"/>
              <w:jc w:val="both"/>
              <w:rPr>
                <w:rFonts w:eastAsiaTheme="minorHAnsi"/>
                <w:bCs/>
                <w:lang w:eastAsia="en-US"/>
              </w:rPr>
            </w:pPr>
            <w:r w:rsidRPr="00E17D8B">
              <w:rPr>
                <w:rFonts w:eastAsiaTheme="minorHAnsi"/>
                <w:bCs/>
                <w:lang w:eastAsia="en-US"/>
              </w:rPr>
              <w:t>Зарегистрировано в Минюсте РФ 28 июля 2015 г. Регистрационный N 38229.</w:t>
            </w:r>
          </w:p>
          <w:p w:rsidR="00DE4D17" w:rsidRPr="009C6E34" w:rsidRDefault="00DE4D17" w:rsidP="00461B56">
            <w:pPr>
              <w:autoSpaceDE w:val="0"/>
              <w:autoSpaceDN w:val="0"/>
              <w:adjustRightInd w:val="0"/>
              <w:ind w:firstLine="540"/>
              <w:jc w:val="both"/>
              <w:rPr>
                <w:rFonts w:eastAsiaTheme="minorHAnsi"/>
                <w:bCs/>
                <w:lang w:eastAsia="en-US"/>
              </w:rPr>
            </w:pPr>
          </w:p>
        </w:tc>
        <w:tc>
          <w:tcPr>
            <w:tcW w:w="6700" w:type="dxa"/>
            <w:gridSpan w:val="2"/>
          </w:tcPr>
          <w:p w:rsidR="00E17D8B" w:rsidRPr="00E17D8B" w:rsidRDefault="00E17D8B" w:rsidP="00E17D8B">
            <w:pPr>
              <w:jc w:val="both"/>
              <w:rPr>
                <w:bCs/>
              </w:rPr>
            </w:pPr>
            <w:r w:rsidRPr="00E17D8B">
              <w:rPr>
                <w:bCs/>
              </w:rPr>
              <w:lastRenderedPageBreak/>
              <w:t>Настоящий приказ вступает в силу по истечении 10 дней после дня его официального опубликования</w:t>
            </w:r>
          </w:p>
          <w:p w:rsidR="00E17D8B" w:rsidRPr="00E17D8B" w:rsidRDefault="00E17D8B" w:rsidP="00E17D8B">
            <w:pPr>
              <w:jc w:val="both"/>
              <w:rPr>
                <w:bCs/>
              </w:rPr>
            </w:pPr>
          </w:p>
          <w:p w:rsidR="00E17D8B" w:rsidRPr="00E17D8B" w:rsidRDefault="00E17D8B" w:rsidP="00E17D8B">
            <w:pPr>
              <w:jc w:val="both"/>
              <w:rPr>
                <w:bCs/>
              </w:rPr>
            </w:pPr>
            <w:r w:rsidRPr="00E17D8B">
              <w:rPr>
                <w:bCs/>
              </w:rPr>
              <w:t>Текст приказа опубликован на "Официальном интернет-портале правовой информации" (www.pravo.gov.ru) 31 июля 2015 г.</w:t>
            </w:r>
          </w:p>
          <w:p w:rsidR="00E17D8B" w:rsidRPr="00E17D8B" w:rsidRDefault="00E17D8B" w:rsidP="00E17D8B">
            <w:pPr>
              <w:jc w:val="both"/>
              <w:rPr>
                <w:bCs/>
              </w:rPr>
            </w:pPr>
          </w:p>
          <w:p w:rsidR="00DE4D17" w:rsidRPr="00461B56" w:rsidRDefault="00DE4D17" w:rsidP="00461B56">
            <w:pPr>
              <w:jc w:val="both"/>
              <w:rPr>
                <w:bCs/>
              </w:rPr>
            </w:pPr>
          </w:p>
        </w:tc>
      </w:tr>
      <w:tr w:rsidR="008A0AC9" w:rsidTr="00660312">
        <w:tc>
          <w:tcPr>
            <w:tcW w:w="704" w:type="dxa"/>
          </w:tcPr>
          <w:p w:rsidR="008A0AC9" w:rsidRPr="00DE4D17" w:rsidRDefault="00A344B4" w:rsidP="00461B56">
            <w:pPr>
              <w:jc w:val="center"/>
              <w:rPr>
                <w:bCs/>
              </w:rPr>
            </w:pPr>
            <w:r>
              <w:rPr>
                <w:bCs/>
              </w:rPr>
              <w:lastRenderedPageBreak/>
              <w:t>12.</w:t>
            </w:r>
          </w:p>
        </w:tc>
        <w:tc>
          <w:tcPr>
            <w:tcW w:w="3045" w:type="dxa"/>
            <w:gridSpan w:val="2"/>
          </w:tcPr>
          <w:p w:rsidR="00536C5C" w:rsidRPr="00536C5C" w:rsidRDefault="00536C5C" w:rsidP="00536C5C">
            <w:pPr>
              <w:jc w:val="both"/>
              <w:rPr>
                <w:b/>
                <w:bCs/>
              </w:rPr>
            </w:pPr>
            <w:r w:rsidRPr="00536C5C">
              <w:rPr>
                <w:b/>
                <w:bCs/>
              </w:rPr>
              <w:t xml:space="preserve">Информация Банка России от 7 августа 2015 г. "О рассылке </w:t>
            </w:r>
            <w:proofErr w:type="spellStart"/>
            <w:r w:rsidRPr="00536C5C">
              <w:rPr>
                <w:b/>
                <w:bCs/>
              </w:rPr>
              <w:t>фишинговых</w:t>
            </w:r>
            <w:proofErr w:type="spellEnd"/>
            <w:r w:rsidRPr="00536C5C">
              <w:rPr>
                <w:b/>
                <w:bCs/>
              </w:rPr>
              <w:t xml:space="preserve"> </w:t>
            </w:r>
            <w:proofErr w:type="spellStart"/>
            <w:r w:rsidRPr="00536C5C">
              <w:rPr>
                <w:b/>
                <w:bCs/>
              </w:rPr>
              <w:t>email</w:t>
            </w:r>
            <w:proofErr w:type="spellEnd"/>
            <w:r w:rsidRPr="00536C5C">
              <w:rPr>
                <w:b/>
                <w:bCs/>
              </w:rPr>
              <w:t>-сообщений"</w:t>
            </w:r>
          </w:p>
          <w:p w:rsidR="00536C5C" w:rsidRPr="00536C5C" w:rsidRDefault="00536C5C" w:rsidP="00536C5C">
            <w:pPr>
              <w:jc w:val="both"/>
              <w:rPr>
                <w:bCs/>
              </w:rPr>
            </w:pPr>
          </w:p>
          <w:p w:rsidR="008A0AC9" w:rsidRPr="00536C5C" w:rsidRDefault="008A0AC9" w:rsidP="008A0AC9">
            <w:pPr>
              <w:jc w:val="both"/>
              <w:rPr>
                <w:bCs/>
              </w:rPr>
            </w:pPr>
          </w:p>
        </w:tc>
        <w:tc>
          <w:tcPr>
            <w:tcW w:w="4290" w:type="dxa"/>
            <w:gridSpan w:val="3"/>
          </w:tcPr>
          <w:p w:rsidR="00536C5C" w:rsidRPr="00536C5C" w:rsidRDefault="00536C5C" w:rsidP="00536C5C">
            <w:pPr>
              <w:autoSpaceDE w:val="0"/>
              <w:autoSpaceDN w:val="0"/>
              <w:adjustRightInd w:val="0"/>
              <w:ind w:firstLine="540"/>
              <w:jc w:val="both"/>
              <w:rPr>
                <w:rFonts w:eastAsiaTheme="minorHAnsi"/>
                <w:bCs/>
                <w:lang w:eastAsia="en-US"/>
              </w:rPr>
            </w:pPr>
            <w:r w:rsidRPr="00536C5C">
              <w:rPr>
                <w:rFonts w:eastAsiaTheme="minorHAnsi"/>
                <w:bCs/>
                <w:lang w:eastAsia="en-US"/>
              </w:rPr>
              <w:t xml:space="preserve">Внимание, опасность! </w:t>
            </w:r>
            <w:proofErr w:type="spellStart"/>
            <w:r w:rsidRPr="00536C5C">
              <w:rPr>
                <w:rFonts w:eastAsiaTheme="minorHAnsi"/>
                <w:bCs/>
                <w:lang w:eastAsia="en-US"/>
              </w:rPr>
              <w:t>Фишинговые</w:t>
            </w:r>
            <w:proofErr w:type="spellEnd"/>
            <w:r w:rsidRPr="00536C5C">
              <w:rPr>
                <w:rFonts w:eastAsiaTheme="minorHAnsi"/>
                <w:bCs/>
                <w:lang w:eastAsia="en-US"/>
              </w:rPr>
              <w:t xml:space="preserve"> </w:t>
            </w:r>
            <w:proofErr w:type="spellStart"/>
            <w:r w:rsidRPr="00536C5C">
              <w:rPr>
                <w:rFonts w:eastAsiaTheme="minorHAnsi"/>
                <w:bCs/>
                <w:lang w:eastAsia="en-US"/>
              </w:rPr>
              <w:t>email</w:t>
            </w:r>
            <w:proofErr w:type="spellEnd"/>
            <w:r w:rsidRPr="00536C5C">
              <w:rPr>
                <w:rFonts w:eastAsiaTheme="minorHAnsi"/>
                <w:bCs/>
                <w:lang w:eastAsia="en-US"/>
              </w:rPr>
              <w:t>-сообщения.</w:t>
            </w:r>
          </w:p>
          <w:p w:rsidR="00536C5C" w:rsidRPr="00536C5C" w:rsidRDefault="00536C5C" w:rsidP="00536C5C">
            <w:pPr>
              <w:autoSpaceDE w:val="0"/>
              <w:autoSpaceDN w:val="0"/>
              <w:adjustRightInd w:val="0"/>
              <w:ind w:firstLine="540"/>
              <w:jc w:val="both"/>
              <w:rPr>
                <w:rFonts w:eastAsiaTheme="minorHAnsi"/>
                <w:bCs/>
                <w:lang w:eastAsia="en-US"/>
              </w:rPr>
            </w:pPr>
            <w:r w:rsidRPr="00536C5C">
              <w:rPr>
                <w:rFonts w:eastAsiaTheme="minorHAnsi"/>
                <w:bCs/>
                <w:lang w:eastAsia="en-US"/>
              </w:rPr>
              <w:t xml:space="preserve">Банк России выявил новый вид мошенничества - рассылка </w:t>
            </w:r>
            <w:proofErr w:type="spellStart"/>
            <w:r w:rsidRPr="00536C5C">
              <w:rPr>
                <w:rFonts w:eastAsiaTheme="minorHAnsi"/>
                <w:bCs/>
                <w:lang w:eastAsia="en-US"/>
              </w:rPr>
              <w:t>email</w:t>
            </w:r>
            <w:proofErr w:type="spellEnd"/>
            <w:r w:rsidRPr="00536C5C">
              <w:rPr>
                <w:rFonts w:eastAsiaTheme="minorHAnsi"/>
                <w:bCs/>
                <w:lang w:eastAsia="en-US"/>
              </w:rPr>
              <w:t>-сооб</w:t>
            </w:r>
            <w:r w:rsidRPr="00536C5C">
              <w:rPr>
                <w:rFonts w:eastAsiaTheme="minorHAnsi"/>
                <w:bCs/>
                <w:lang w:eastAsia="en-US"/>
              </w:rPr>
              <w:lastRenderedPageBreak/>
              <w:t>щений, содержащих недостоверную информацию о запуске национальной платежной системы "Мир".</w:t>
            </w:r>
          </w:p>
          <w:p w:rsidR="00536C5C" w:rsidRPr="00536C5C" w:rsidRDefault="00536C5C" w:rsidP="00536C5C">
            <w:pPr>
              <w:autoSpaceDE w:val="0"/>
              <w:autoSpaceDN w:val="0"/>
              <w:adjustRightInd w:val="0"/>
              <w:ind w:firstLine="540"/>
              <w:jc w:val="both"/>
              <w:rPr>
                <w:rFonts w:eastAsiaTheme="minorHAnsi"/>
                <w:bCs/>
                <w:lang w:eastAsia="en-US"/>
              </w:rPr>
            </w:pPr>
            <w:r w:rsidRPr="00536C5C">
              <w:rPr>
                <w:rFonts w:eastAsiaTheme="minorHAnsi"/>
                <w:bCs/>
                <w:lang w:eastAsia="en-US"/>
              </w:rPr>
              <w:t>Такие сообщения содержат описание возможностей платежной системы "Мир" и предложение получить карты данной системы, заполнив находящуюся во вложении форму участника. При этом на компьютер клиента загружается вредоносное ПО.</w:t>
            </w:r>
          </w:p>
          <w:p w:rsidR="00536C5C" w:rsidRPr="00536C5C" w:rsidRDefault="00536C5C" w:rsidP="00536C5C">
            <w:pPr>
              <w:autoSpaceDE w:val="0"/>
              <w:autoSpaceDN w:val="0"/>
              <w:adjustRightInd w:val="0"/>
              <w:ind w:firstLine="540"/>
              <w:jc w:val="both"/>
              <w:rPr>
                <w:rFonts w:eastAsiaTheme="minorHAnsi"/>
                <w:bCs/>
                <w:lang w:eastAsia="en-US"/>
              </w:rPr>
            </w:pPr>
            <w:proofErr w:type="spellStart"/>
            <w:r w:rsidRPr="00536C5C">
              <w:rPr>
                <w:rFonts w:eastAsiaTheme="minorHAnsi"/>
                <w:bCs/>
                <w:lang w:eastAsia="en-US"/>
              </w:rPr>
              <w:t>Фишинговые</w:t>
            </w:r>
            <w:proofErr w:type="spellEnd"/>
            <w:r w:rsidRPr="00536C5C">
              <w:rPr>
                <w:rFonts w:eastAsiaTheme="minorHAnsi"/>
                <w:bCs/>
                <w:lang w:eastAsia="en-US"/>
              </w:rPr>
              <w:t xml:space="preserve"> </w:t>
            </w:r>
            <w:proofErr w:type="spellStart"/>
            <w:r w:rsidRPr="00536C5C">
              <w:rPr>
                <w:rFonts w:eastAsiaTheme="minorHAnsi"/>
                <w:bCs/>
                <w:lang w:eastAsia="en-US"/>
              </w:rPr>
              <w:t>email</w:t>
            </w:r>
            <w:proofErr w:type="spellEnd"/>
            <w:r w:rsidRPr="00536C5C">
              <w:rPr>
                <w:rFonts w:eastAsiaTheme="minorHAnsi"/>
                <w:bCs/>
                <w:lang w:eastAsia="en-US"/>
              </w:rPr>
              <w:t xml:space="preserve">-сообщения рассылаются от имени крупных кредитных организаций. При этом адрес отправителя </w:t>
            </w:r>
            <w:proofErr w:type="spellStart"/>
            <w:r w:rsidRPr="00536C5C">
              <w:rPr>
                <w:rFonts w:eastAsiaTheme="minorHAnsi"/>
                <w:bCs/>
                <w:lang w:eastAsia="en-US"/>
              </w:rPr>
              <w:t>email</w:t>
            </w:r>
            <w:proofErr w:type="spellEnd"/>
            <w:r w:rsidRPr="00536C5C">
              <w:rPr>
                <w:rFonts w:eastAsiaTheme="minorHAnsi"/>
                <w:bCs/>
                <w:lang w:eastAsia="en-US"/>
              </w:rPr>
              <w:t xml:space="preserve">-сообщения может принадлежать существующей кредитной организации. Одна из отличительных особенностей таких </w:t>
            </w:r>
            <w:proofErr w:type="spellStart"/>
            <w:r w:rsidRPr="00536C5C">
              <w:rPr>
                <w:rFonts w:eastAsiaTheme="minorHAnsi"/>
                <w:bCs/>
                <w:lang w:eastAsia="en-US"/>
              </w:rPr>
              <w:t>email</w:t>
            </w:r>
            <w:proofErr w:type="spellEnd"/>
            <w:r w:rsidRPr="00536C5C">
              <w:rPr>
                <w:rFonts w:eastAsiaTheme="minorHAnsi"/>
                <w:bCs/>
                <w:lang w:eastAsia="en-US"/>
              </w:rPr>
              <w:t xml:space="preserve">-сообщений - перечисление в тексте заведомо большого количества преимуществ данной платежной системы, в том числе прямого доступа к </w:t>
            </w:r>
            <w:proofErr w:type="spellStart"/>
            <w:r w:rsidRPr="00536C5C">
              <w:rPr>
                <w:rFonts w:eastAsiaTheme="minorHAnsi"/>
                <w:bCs/>
                <w:lang w:eastAsia="en-US"/>
              </w:rPr>
              <w:t>криптовалютам</w:t>
            </w:r>
            <w:proofErr w:type="spellEnd"/>
            <w:r w:rsidRPr="00536C5C">
              <w:rPr>
                <w:rFonts w:eastAsiaTheme="minorHAnsi"/>
                <w:bCs/>
                <w:lang w:eastAsia="en-US"/>
              </w:rPr>
              <w:t>.</w:t>
            </w:r>
          </w:p>
          <w:p w:rsidR="00536C5C" w:rsidRPr="00536C5C" w:rsidRDefault="00536C5C" w:rsidP="00536C5C">
            <w:pPr>
              <w:autoSpaceDE w:val="0"/>
              <w:autoSpaceDN w:val="0"/>
              <w:adjustRightInd w:val="0"/>
              <w:ind w:firstLine="540"/>
              <w:jc w:val="both"/>
              <w:rPr>
                <w:rFonts w:eastAsiaTheme="minorHAnsi"/>
                <w:bCs/>
                <w:lang w:eastAsia="en-US"/>
              </w:rPr>
            </w:pPr>
            <w:r w:rsidRPr="00536C5C">
              <w:rPr>
                <w:rFonts w:eastAsiaTheme="minorHAnsi"/>
                <w:bCs/>
                <w:lang w:eastAsia="en-US"/>
              </w:rPr>
              <w:t xml:space="preserve">Банк России призывает получателей таких сообщений не открывать содержащиеся в них вложения и не пересылать их. При получении подобных </w:t>
            </w:r>
            <w:proofErr w:type="spellStart"/>
            <w:r w:rsidRPr="00536C5C">
              <w:rPr>
                <w:rFonts w:eastAsiaTheme="minorHAnsi"/>
                <w:bCs/>
                <w:lang w:eastAsia="en-US"/>
              </w:rPr>
              <w:t>email</w:t>
            </w:r>
            <w:proofErr w:type="spellEnd"/>
            <w:r w:rsidRPr="00536C5C">
              <w:rPr>
                <w:rFonts w:eastAsiaTheme="minorHAnsi"/>
                <w:bCs/>
                <w:lang w:eastAsia="en-US"/>
              </w:rPr>
              <w:t>-сообщений гражданам рекомендуется ставить об этом в известность клиентскую службу кредитной организации, от лица которой получено сообщение.</w:t>
            </w:r>
          </w:p>
          <w:p w:rsidR="00536C5C" w:rsidRPr="00536C5C" w:rsidRDefault="00536C5C" w:rsidP="00536C5C">
            <w:pPr>
              <w:autoSpaceDE w:val="0"/>
              <w:autoSpaceDN w:val="0"/>
              <w:adjustRightInd w:val="0"/>
              <w:ind w:firstLine="540"/>
              <w:jc w:val="both"/>
              <w:rPr>
                <w:rFonts w:eastAsiaTheme="minorHAnsi"/>
                <w:bCs/>
                <w:lang w:eastAsia="en-US"/>
              </w:rPr>
            </w:pPr>
            <w:r w:rsidRPr="00536C5C">
              <w:rPr>
                <w:rFonts w:eastAsiaTheme="minorHAnsi"/>
                <w:bCs/>
                <w:lang w:eastAsia="en-US"/>
              </w:rPr>
              <w:t>Кредитным организациям рекомендовано сообщать о подобных слу</w:t>
            </w:r>
            <w:r w:rsidRPr="00536C5C">
              <w:rPr>
                <w:rFonts w:eastAsiaTheme="minorHAnsi"/>
                <w:bCs/>
                <w:lang w:eastAsia="en-US"/>
              </w:rPr>
              <w:lastRenderedPageBreak/>
              <w:t>чаях в Центр мониторинга и реагирования на компьютерные атаки в кредитно-финансовой сфере.</w:t>
            </w:r>
          </w:p>
          <w:p w:rsidR="00536C5C" w:rsidRPr="00536C5C" w:rsidRDefault="00536C5C" w:rsidP="00536C5C">
            <w:pPr>
              <w:autoSpaceDE w:val="0"/>
              <w:autoSpaceDN w:val="0"/>
              <w:adjustRightInd w:val="0"/>
              <w:ind w:firstLine="540"/>
              <w:jc w:val="both"/>
              <w:rPr>
                <w:rFonts w:eastAsiaTheme="minorHAnsi"/>
                <w:bCs/>
                <w:lang w:eastAsia="en-US"/>
              </w:rPr>
            </w:pPr>
          </w:p>
          <w:p w:rsidR="008A0AC9" w:rsidRPr="00536C5C" w:rsidRDefault="008A0AC9" w:rsidP="008A0AC9">
            <w:pPr>
              <w:autoSpaceDE w:val="0"/>
              <w:autoSpaceDN w:val="0"/>
              <w:adjustRightInd w:val="0"/>
              <w:ind w:firstLine="540"/>
              <w:jc w:val="both"/>
              <w:rPr>
                <w:rFonts w:eastAsiaTheme="minorHAnsi"/>
                <w:bCs/>
                <w:lang w:eastAsia="en-US"/>
              </w:rPr>
            </w:pPr>
          </w:p>
        </w:tc>
        <w:tc>
          <w:tcPr>
            <w:tcW w:w="6700" w:type="dxa"/>
            <w:gridSpan w:val="2"/>
          </w:tcPr>
          <w:p w:rsidR="00536C5C" w:rsidRPr="00536C5C" w:rsidRDefault="00536C5C" w:rsidP="00536C5C">
            <w:pPr>
              <w:jc w:val="both"/>
              <w:rPr>
                <w:b/>
                <w:bCs/>
              </w:rPr>
            </w:pPr>
            <w:r w:rsidRPr="00536C5C">
              <w:rPr>
                <w:b/>
                <w:bCs/>
              </w:rPr>
              <w:lastRenderedPageBreak/>
              <w:t>Текст информации опубликован в "Вестнике Банка России" от 12 августа 2015 г. N 66</w:t>
            </w:r>
          </w:p>
          <w:p w:rsidR="00536C5C" w:rsidRPr="00536C5C" w:rsidRDefault="00536C5C" w:rsidP="00536C5C">
            <w:pPr>
              <w:jc w:val="both"/>
              <w:rPr>
                <w:bCs/>
              </w:rPr>
            </w:pPr>
          </w:p>
          <w:p w:rsidR="008A0AC9" w:rsidRPr="008A0AC9" w:rsidRDefault="008A0AC9" w:rsidP="00A344B4">
            <w:pPr>
              <w:jc w:val="both"/>
              <w:rPr>
                <w:bCs/>
              </w:rPr>
            </w:pPr>
          </w:p>
        </w:tc>
      </w:tr>
      <w:tr w:rsidR="00DE4D17" w:rsidTr="00660312">
        <w:tc>
          <w:tcPr>
            <w:tcW w:w="704" w:type="dxa"/>
          </w:tcPr>
          <w:p w:rsidR="00DE4D17" w:rsidRPr="00DE4D17" w:rsidRDefault="00DE4D17" w:rsidP="00A344B4">
            <w:pPr>
              <w:jc w:val="center"/>
              <w:rPr>
                <w:bCs/>
              </w:rPr>
            </w:pPr>
            <w:r w:rsidRPr="00DE4D17">
              <w:rPr>
                <w:bCs/>
              </w:rPr>
              <w:lastRenderedPageBreak/>
              <w:t>1</w:t>
            </w:r>
            <w:r w:rsidR="00A344B4">
              <w:rPr>
                <w:bCs/>
              </w:rPr>
              <w:t>3</w:t>
            </w:r>
            <w:r w:rsidRPr="00DE4D17">
              <w:rPr>
                <w:bCs/>
              </w:rPr>
              <w:t>.</w:t>
            </w:r>
          </w:p>
        </w:tc>
        <w:tc>
          <w:tcPr>
            <w:tcW w:w="3045" w:type="dxa"/>
            <w:gridSpan w:val="2"/>
          </w:tcPr>
          <w:p w:rsidR="002165CC" w:rsidRPr="002165CC" w:rsidRDefault="002165CC" w:rsidP="002165CC">
            <w:pPr>
              <w:jc w:val="center"/>
              <w:rPr>
                <w:bCs/>
              </w:rPr>
            </w:pPr>
            <w:r w:rsidRPr="002165CC">
              <w:rPr>
                <w:b/>
                <w:bCs/>
              </w:rPr>
              <w:t>Приказ Министерства образования и науки РФ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w:t>
            </w:r>
          </w:p>
          <w:p w:rsidR="00DE4D17" w:rsidRPr="00461B56" w:rsidRDefault="00DE4D17" w:rsidP="00461B56">
            <w:pPr>
              <w:jc w:val="center"/>
              <w:rPr>
                <w:bCs/>
              </w:rPr>
            </w:pPr>
          </w:p>
        </w:tc>
        <w:tc>
          <w:tcPr>
            <w:tcW w:w="4290" w:type="dxa"/>
            <w:gridSpan w:val="3"/>
          </w:tcPr>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
                <w:bCs/>
                <w:lang w:eastAsia="en-US"/>
              </w:rPr>
              <w:t>Школьники не должны тратить на выполнение домашних заданий слишком много времени.</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Скорректирован Порядок организации и осуществления образовательной деятельности по программам начального, основного и среднего общего образования.</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Закреплено, что организация указанной деятельности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предметов, предметных областей соответствующей программы (профильное обучение).</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В 1 классе обучение проводится без балльного оценивания знаний и домашних заданий.</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Объем домашних заданий должен быть таким, чтобы затраты времени на его выполнение не превышали определенную величину. Во 2-3 классах это 1,5 часа, в 4-5 классах - 2 часа, в 6-8 классах - 2,5 часа, в 9-11 классах - до 3,5 часа.</w:t>
            </w:r>
          </w:p>
          <w:p w:rsidR="002165CC" w:rsidRPr="002165CC"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lastRenderedPageBreak/>
              <w:t>Предметы, курсы, дисциплины (модули), требующие больших затрат времени на выполнение домашнего задания, не должны группироваться в один день.</w:t>
            </w:r>
          </w:p>
          <w:p w:rsidR="00DE4D17" w:rsidRPr="009C6E34" w:rsidRDefault="002165CC" w:rsidP="002165CC">
            <w:pPr>
              <w:autoSpaceDE w:val="0"/>
              <w:autoSpaceDN w:val="0"/>
              <w:adjustRightInd w:val="0"/>
              <w:ind w:firstLine="540"/>
              <w:jc w:val="both"/>
              <w:rPr>
                <w:rFonts w:eastAsiaTheme="minorHAnsi"/>
                <w:bCs/>
                <w:lang w:eastAsia="en-US"/>
              </w:rPr>
            </w:pPr>
            <w:r w:rsidRPr="002165CC">
              <w:rPr>
                <w:rFonts w:eastAsiaTheme="minorHAnsi"/>
                <w:bCs/>
                <w:lang w:eastAsia="en-US"/>
              </w:rPr>
              <w:t>Зарегистрировано в Минюсте РФ 13 августа 2015 г. Регистрационный N 38490.</w:t>
            </w:r>
          </w:p>
        </w:tc>
        <w:tc>
          <w:tcPr>
            <w:tcW w:w="6700" w:type="dxa"/>
            <w:gridSpan w:val="2"/>
          </w:tcPr>
          <w:p w:rsidR="002165CC" w:rsidRPr="002165CC" w:rsidRDefault="002165CC" w:rsidP="002165CC">
            <w:pPr>
              <w:jc w:val="both"/>
              <w:rPr>
                <w:bCs/>
              </w:rPr>
            </w:pPr>
            <w:proofErr w:type="spellStart"/>
            <w:r w:rsidRPr="002165CC">
              <w:rPr>
                <w:bCs/>
              </w:rPr>
              <w:lastRenderedPageBreak/>
              <w:t>астоящий</w:t>
            </w:r>
            <w:proofErr w:type="spellEnd"/>
            <w:r w:rsidRPr="002165CC">
              <w:rPr>
                <w:bCs/>
              </w:rPr>
              <w:t xml:space="preserve"> приказ вступает в силу по истечении 10 дней после дня его официального опубликования</w:t>
            </w:r>
          </w:p>
          <w:p w:rsidR="002165CC" w:rsidRPr="002165CC" w:rsidRDefault="002165CC" w:rsidP="002165CC">
            <w:pPr>
              <w:jc w:val="both"/>
              <w:rPr>
                <w:bCs/>
              </w:rPr>
            </w:pPr>
          </w:p>
          <w:p w:rsidR="002165CC" w:rsidRPr="002165CC" w:rsidRDefault="002165CC" w:rsidP="002165CC">
            <w:pPr>
              <w:jc w:val="both"/>
              <w:rPr>
                <w:bCs/>
              </w:rPr>
            </w:pPr>
            <w:r w:rsidRPr="002165CC">
              <w:rPr>
                <w:bCs/>
              </w:rPr>
              <w:t>Текст приказа опубликован на "Официальном интернет-портале правовой информации" (www.pravo.gov.ru) 14 августа 2015 г.</w:t>
            </w:r>
          </w:p>
          <w:p w:rsidR="002165CC" w:rsidRPr="002165CC" w:rsidRDefault="002165CC" w:rsidP="002165CC">
            <w:pPr>
              <w:jc w:val="both"/>
              <w:rPr>
                <w:bCs/>
              </w:rPr>
            </w:pPr>
          </w:p>
          <w:p w:rsidR="00DE4D17" w:rsidRPr="00461B56" w:rsidRDefault="00DE4D17" w:rsidP="00461B56">
            <w:pPr>
              <w:jc w:val="both"/>
              <w:rPr>
                <w:bCs/>
              </w:rPr>
            </w:pPr>
          </w:p>
        </w:tc>
      </w:tr>
      <w:tr w:rsidR="008A0AC9" w:rsidTr="00660312">
        <w:tc>
          <w:tcPr>
            <w:tcW w:w="704" w:type="dxa"/>
          </w:tcPr>
          <w:p w:rsidR="008A0AC9" w:rsidRPr="00DE4D17" w:rsidRDefault="008A0AC9" w:rsidP="00A344B4">
            <w:pPr>
              <w:jc w:val="center"/>
              <w:rPr>
                <w:bCs/>
              </w:rPr>
            </w:pPr>
            <w:r>
              <w:rPr>
                <w:bCs/>
              </w:rPr>
              <w:lastRenderedPageBreak/>
              <w:t>1</w:t>
            </w:r>
            <w:r w:rsidR="00A344B4">
              <w:rPr>
                <w:bCs/>
              </w:rPr>
              <w:t>4</w:t>
            </w:r>
            <w:r>
              <w:rPr>
                <w:bCs/>
              </w:rPr>
              <w:t xml:space="preserve">. </w:t>
            </w:r>
          </w:p>
        </w:tc>
        <w:tc>
          <w:tcPr>
            <w:tcW w:w="3045" w:type="dxa"/>
            <w:gridSpan w:val="2"/>
          </w:tcPr>
          <w:p w:rsidR="008A0AC9" w:rsidRPr="0041106B" w:rsidRDefault="007D3565" w:rsidP="007D3565">
            <w:pPr>
              <w:jc w:val="both"/>
              <w:rPr>
                <w:bCs/>
              </w:rPr>
            </w:pPr>
            <w:r w:rsidRPr="007D3565">
              <w:rPr>
                <w:b/>
                <w:bCs/>
              </w:rPr>
              <w:t>Приказ Федеральной налоговой службы от 11 августа 2015 г. N СА-7-6/344@ "О внесении изменений в приказ Федеральной налоговой службы от 24.12.2013 N ММВ-7-6/635@ "Об официальном Интернет-сайте Федеральной налоговой службы"</w:t>
            </w:r>
          </w:p>
        </w:tc>
        <w:tc>
          <w:tcPr>
            <w:tcW w:w="4290" w:type="dxa"/>
            <w:gridSpan w:val="3"/>
          </w:tcPr>
          <w:p w:rsidR="007D3565" w:rsidRPr="007D3565" w:rsidRDefault="007D3565" w:rsidP="007D3565">
            <w:pPr>
              <w:autoSpaceDE w:val="0"/>
              <w:autoSpaceDN w:val="0"/>
              <w:adjustRightInd w:val="0"/>
              <w:ind w:firstLine="540"/>
              <w:jc w:val="both"/>
              <w:rPr>
                <w:rFonts w:eastAsiaTheme="minorHAnsi"/>
                <w:bCs/>
                <w:lang w:eastAsia="en-US"/>
              </w:rPr>
            </w:pPr>
            <w:r w:rsidRPr="007D3565">
              <w:rPr>
                <w:rFonts w:eastAsiaTheme="minorHAnsi"/>
                <w:b/>
                <w:bCs/>
                <w:lang w:eastAsia="en-US"/>
              </w:rPr>
              <w:t>Рассчитываем налоги с помощью специализированных калькуляторов на сайте ФНС России.</w:t>
            </w:r>
          </w:p>
          <w:p w:rsidR="007D3565" w:rsidRPr="007D3565" w:rsidRDefault="007D3565" w:rsidP="007D3565">
            <w:pPr>
              <w:autoSpaceDE w:val="0"/>
              <w:autoSpaceDN w:val="0"/>
              <w:adjustRightInd w:val="0"/>
              <w:ind w:firstLine="540"/>
              <w:jc w:val="both"/>
              <w:rPr>
                <w:rFonts w:eastAsiaTheme="minorHAnsi"/>
                <w:bCs/>
                <w:lang w:eastAsia="en-US"/>
              </w:rPr>
            </w:pPr>
            <w:r w:rsidRPr="007D3565">
              <w:rPr>
                <w:rFonts w:eastAsiaTheme="minorHAnsi"/>
                <w:bCs/>
                <w:lang w:eastAsia="en-US"/>
              </w:rPr>
              <w:t>Заново утверждено Положение об официальном сайте ФНС России, содержащем блоки региональной информации управлений Службы по субъектам Федерации. Существенно оно не изменилось.</w:t>
            </w:r>
          </w:p>
          <w:p w:rsidR="007D3565" w:rsidRPr="007D3565" w:rsidRDefault="007D3565" w:rsidP="007D3565">
            <w:pPr>
              <w:autoSpaceDE w:val="0"/>
              <w:autoSpaceDN w:val="0"/>
              <w:adjustRightInd w:val="0"/>
              <w:ind w:firstLine="540"/>
              <w:jc w:val="both"/>
              <w:rPr>
                <w:rFonts w:eastAsiaTheme="minorHAnsi"/>
                <w:bCs/>
                <w:lang w:eastAsia="en-US"/>
              </w:rPr>
            </w:pPr>
            <w:r w:rsidRPr="007D3565">
              <w:rPr>
                <w:rFonts w:eastAsiaTheme="minorHAnsi"/>
                <w:bCs/>
                <w:lang w:eastAsia="en-US"/>
              </w:rPr>
              <w:t xml:space="preserve">Как и ранее, сайт создан для того, чтобы информировать плательщиков о налоговом законодательстве, доводить до них актуальную справочную и разъяснительную информацию, снизить объем бумажного документооборота. С его помощью также оказываются </w:t>
            </w:r>
            <w:proofErr w:type="spellStart"/>
            <w:r w:rsidRPr="007D3565">
              <w:rPr>
                <w:rFonts w:eastAsiaTheme="minorHAnsi"/>
                <w:bCs/>
                <w:lang w:eastAsia="en-US"/>
              </w:rPr>
              <w:t>госуслуги</w:t>
            </w:r>
            <w:proofErr w:type="spellEnd"/>
            <w:r w:rsidRPr="007D3565">
              <w:rPr>
                <w:rFonts w:eastAsiaTheme="minorHAnsi"/>
                <w:bCs/>
                <w:lang w:eastAsia="en-US"/>
              </w:rPr>
              <w:t>.</w:t>
            </w:r>
          </w:p>
          <w:p w:rsidR="007D3565" w:rsidRPr="007D3565" w:rsidRDefault="007D3565" w:rsidP="007D3565">
            <w:pPr>
              <w:autoSpaceDE w:val="0"/>
              <w:autoSpaceDN w:val="0"/>
              <w:adjustRightInd w:val="0"/>
              <w:ind w:firstLine="540"/>
              <w:jc w:val="both"/>
              <w:rPr>
                <w:rFonts w:eastAsiaTheme="minorHAnsi"/>
                <w:bCs/>
                <w:lang w:eastAsia="en-US"/>
              </w:rPr>
            </w:pPr>
            <w:r w:rsidRPr="007D3565">
              <w:rPr>
                <w:rFonts w:eastAsiaTheme="minorHAnsi"/>
                <w:bCs/>
                <w:lang w:eastAsia="en-US"/>
              </w:rPr>
              <w:t>Адрес сайта тот же - http://www.nalog.ru. Англоязычная версия - http://eng.nalog.ru.</w:t>
            </w:r>
          </w:p>
          <w:p w:rsidR="007D3565" w:rsidRPr="007D3565" w:rsidRDefault="007D3565" w:rsidP="007D3565">
            <w:pPr>
              <w:autoSpaceDE w:val="0"/>
              <w:autoSpaceDN w:val="0"/>
              <w:adjustRightInd w:val="0"/>
              <w:ind w:firstLine="540"/>
              <w:jc w:val="both"/>
              <w:rPr>
                <w:rFonts w:eastAsiaTheme="minorHAnsi"/>
                <w:bCs/>
                <w:lang w:eastAsia="en-US"/>
              </w:rPr>
            </w:pPr>
            <w:r w:rsidRPr="007D3565">
              <w:rPr>
                <w:rFonts w:eastAsiaTheme="minorHAnsi"/>
                <w:bCs/>
                <w:lang w:eastAsia="en-US"/>
              </w:rPr>
              <w:t xml:space="preserve">Сведения на сайте - это совокупность федеральной и региональной информации. Она отображается по принципу </w:t>
            </w:r>
            <w:proofErr w:type="spellStart"/>
            <w:r w:rsidRPr="007D3565">
              <w:rPr>
                <w:rFonts w:eastAsiaTheme="minorHAnsi"/>
                <w:bCs/>
                <w:lang w:eastAsia="en-US"/>
              </w:rPr>
              <w:t>геотаргетинга</w:t>
            </w:r>
            <w:proofErr w:type="spellEnd"/>
            <w:r w:rsidRPr="007D3565">
              <w:rPr>
                <w:rFonts w:eastAsiaTheme="minorHAnsi"/>
                <w:bCs/>
                <w:lang w:eastAsia="en-US"/>
              </w:rPr>
              <w:t xml:space="preserve">. Он представляет </w:t>
            </w:r>
            <w:r w:rsidRPr="007D3565">
              <w:rPr>
                <w:rFonts w:eastAsiaTheme="minorHAnsi"/>
                <w:bCs/>
                <w:lang w:eastAsia="en-US"/>
              </w:rPr>
              <w:lastRenderedPageBreak/>
              <w:t>собой метод выдачи посетителю содержимого, соответствующего его географическому положению, определенному автоматически.</w:t>
            </w:r>
          </w:p>
          <w:p w:rsidR="007D3565" w:rsidRPr="007D3565" w:rsidRDefault="007D3565" w:rsidP="007D3565">
            <w:pPr>
              <w:autoSpaceDE w:val="0"/>
              <w:autoSpaceDN w:val="0"/>
              <w:adjustRightInd w:val="0"/>
              <w:ind w:firstLine="540"/>
              <w:jc w:val="both"/>
              <w:rPr>
                <w:rFonts w:eastAsiaTheme="minorHAnsi"/>
                <w:bCs/>
                <w:lang w:eastAsia="en-US"/>
              </w:rPr>
            </w:pPr>
            <w:r w:rsidRPr="007D3565">
              <w:rPr>
                <w:rFonts w:eastAsiaTheme="minorHAnsi"/>
                <w:bCs/>
                <w:lang w:eastAsia="en-US"/>
              </w:rPr>
              <w:t>По-прежнему выделяются 2 вида меню: информационное и пользовательское. Первое вмещает в себя весь объем информации, удовлетворяющей как запросы пользователей, так и требования нормативных правовых актов. Второе обеспечивает навигацию по сайту на основе жизненных ситуаций.</w:t>
            </w:r>
          </w:p>
          <w:p w:rsidR="008A0AC9" w:rsidRPr="009C6E34" w:rsidRDefault="007D3565" w:rsidP="007D3565">
            <w:pPr>
              <w:autoSpaceDE w:val="0"/>
              <w:autoSpaceDN w:val="0"/>
              <w:adjustRightInd w:val="0"/>
              <w:ind w:firstLine="540"/>
              <w:jc w:val="both"/>
              <w:rPr>
                <w:rFonts w:eastAsiaTheme="minorHAnsi"/>
                <w:bCs/>
                <w:lang w:eastAsia="en-US"/>
              </w:rPr>
            </w:pPr>
            <w:r w:rsidRPr="007D3565">
              <w:rPr>
                <w:rFonts w:eastAsiaTheme="minorHAnsi"/>
                <w:bCs/>
                <w:lang w:eastAsia="en-US"/>
              </w:rPr>
              <w:t>Пересмотрен регламент наполнения сайта. Расширены возможности ресурса. Так, появилась дополнительная опция, позволяющая рассчитывать налоги с помощью специализированных калькуляторов. Еще одно новшество - получение через сайт открытых и общедоступных сведений ЕГРН об иностранных организациях.</w:t>
            </w:r>
          </w:p>
        </w:tc>
        <w:tc>
          <w:tcPr>
            <w:tcW w:w="6700" w:type="dxa"/>
            <w:gridSpan w:val="2"/>
          </w:tcPr>
          <w:p w:rsidR="007D3565" w:rsidRPr="007D3565" w:rsidRDefault="007D3565" w:rsidP="007D3565">
            <w:pPr>
              <w:jc w:val="both"/>
              <w:rPr>
                <w:bCs/>
              </w:rPr>
            </w:pPr>
            <w:r w:rsidRPr="007D3565">
              <w:rPr>
                <w:bCs/>
              </w:rPr>
              <w:lastRenderedPageBreak/>
              <w:t>Текст приказа официально опубликован не был</w:t>
            </w:r>
          </w:p>
          <w:p w:rsidR="008A0AC9" w:rsidRPr="0041106B" w:rsidRDefault="008A0AC9" w:rsidP="00461B56">
            <w:pPr>
              <w:jc w:val="both"/>
              <w:rPr>
                <w:bCs/>
              </w:rPr>
            </w:pPr>
          </w:p>
        </w:tc>
      </w:tr>
      <w:tr w:rsidR="006E3925" w:rsidTr="00660312">
        <w:tc>
          <w:tcPr>
            <w:tcW w:w="704" w:type="dxa"/>
          </w:tcPr>
          <w:p w:rsidR="006E3925" w:rsidRDefault="006E3925" w:rsidP="00AE400B">
            <w:pPr>
              <w:ind w:left="-10"/>
              <w:jc w:val="center"/>
              <w:rPr>
                <w:b/>
              </w:rPr>
            </w:pPr>
            <w:bookmarkStart w:id="0" w:name="_GoBack"/>
            <w:bookmarkEnd w:id="0"/>
          </w:p>
          <w:p w:rsidR="006E3925" w:rsidRDefault="006E3925" w:rsidP="00AE400B"/>
        </w:tc>
        <w:tc>
          <w:tcPr>
            <w:tcW w:w="14035" w:type="dxa"/>
            <w:gridSpan w:val="7"/>
          </w:tcPr>
          <w:p w:rsidR="006E3925" w:rsidRPr="00097065" w:rsidRDefault="006E3925" w:rsidP="006E3925">
            <w:pPr>
              <w:ind w:left="-10"/>
              <w:jc w:val="center"/>
              <w:rPr>
                <w:b/>
              </w:rPr>
            </w:pPr>
            <w:r w:rsidRPr="00097065">
              <w:rPr>
                <w:b/>
              </w:rPr>
              <w:t>ОБЛАСТНОЕ ЗАКОНОДАТЕЛЬСТВО</w:t>
            </w:r>
          </w:p>
          <w:p w:rsidR="006E3925" w:rsidRDefault="006E3925" w:rsidP="00AE400B"/>
        </w:tc>
      </w:tr>
      <w:tr w:rsidR="006E3925" w:rsidTr="00660312">
        <w:tc>
          <w:tcPr>
            <w:tcW w:w="704" w:type="dxa"/>
          </w:tcPr>
          <w:p w:rsidR="006E3925" w:rsidRPr="008F5DA8" w:rsidRDefault="008F5DA8" w:rsidP="00AE400B">
            <w:pPr>
              <w:ind w:left="-10"/>
              <w:jc w:val="center"/>
            </w:pPr>
            <w:r w:rsidRPr="008F5DA8">
              <w:t>1.</w:t>
            </w:r>
          </w:p>
        </w:tc>
        <w:tc>
          <w:tcPr>
            <w:tcW w:w="3015" w:type="dxa"/>
          </w:tcPr>
          <w:p w:rsidR="006E3925" w:rsidRPr="00097065" w:rsidRDefault="00351BC5" w:rsidP="00351BC5">
            <w:pPr>
              <w:ind w:left="-10"/>
              <w:jc w:val="center"/>
              <w:rPr>
                <w:b/>
              </w:rPr>
            </w:pPr>
            <w:r w:rsidRPr="00351BC5">
              <w:rPr>
                <w:b/>
              </w:rPr>
              <w:t>Постановление</w:t>
            </w:r>
            <w:r w:rsidRPr="00351BC5">
              <w:rPr>
                <w:b/>
                <w:bCs/>
              </w:rPr>
              <w:t xml:space="preserve"> Правительства Иркутской области от 27 июля 2015 г. N 360-ПП "О Перечне доходов семей, учитываемых при исчислении среднедушевого дохода для определения их права на получение еже</w:t>
            </w:r>
            <w:r w:rsidRPr="00351BC5">
              <w:rPr>
                <w:b/>
                <w:bCs/>
              </w:rPr>
              <w:lastRenderedPageBreak/>
              <w:t>месячной денежной выплаты в случае рождения третьего или последующих детей, и о Порядке исчисления среднедушевого дохода семей для определения их права на получение ежемесячной денежной выплаты в случае рождения третьего или последующих детей"</w:t>
            </w:r>
          </w:p>
        </w:tc>
        <w:tc>
          <w:tcPr>
            <w:tcW w:w="4350" w:type="dxa"/>
            <w:gridSpan w:val="5"/>
          </w:tcPr>
          <w:p w:rsidR="00351BC5" w:rsidRPr="00351BC5" w:rsidRDefault="00351BC5" w:rsidP="00351BC5">
            <w:pPr>
              <w:ind w:left="-10"/>
              <w:jc w:val="both"/>
            </w:pPr>
            <w:r w:rsidRPr="00351BC5">
              <w:rPr>
                <w:bCs/>
              </w:rPr>
              <w:lastRenderedPageBreak/>
              <w:t>Как исчисляется среднедушевой доход семей для определения их права на получение ежемесячной денежной выплаты в случае рождения третьего или последующих детей?</w:t>
            </w:r>
          </w:p>
          <w:p w:rsidR="00351BC5" w:rsidRPr="00351BC5" w:rsidRDefault="00351BC5" w:rsidP="00351BC5">
            <w:pPr>
              <w:ind w:left="-10"/>
              <w:jc w:val="both"/>
            </w:pPr>
            <w:r w:rsidRPr="00351BC5">
              <w:t xml:space="preserve">Среднедушевой доход семей исчисляется путем деления суммы доходов всех членов семьи, полученных ими за шесть последних календарных месяцев, предшествующих месяцу подачи заявления о </w:t>
            </w:r>
            <w:r w:rsidRPr="00351BC5">
              <w:lastRenderedPageBreak/>
              <w:t>предоставлении ежемесячной денежной выплаты, на шесть месяцев и на количество членов семьи на день обращения за ежемесячной денежной выплатой.</w:t>
            </w:r>
          </w:p>
          <w:p w:rsidR="00351BC5" w:rsidRPr="00351BC5" w:rsidRDefault="00351BC5" w:rsidP="00351BC5">
            <w:pPr>
              <w:ind w:left="-10"/>
              <w:jc w:val="both"/>
            </w:pPr>
            <w:r w:rsidRPr="00351BC5">
              <w:t>При расчете среднедушевого дохода семьи учитывается сумма доходов каждого члена семьи.</w:t>
            </w:r>
          </w:p>
          <w:p w:rsidR="00351BC5" w:rsidRPr="00351BC5" w:rsidRDefault="00351BC5" w:rsidP="00351BC5">
            <w:pPr>
              <w:ind w:left="-10"/>
              <w:jc w:val="both"/>
            </w:pPr>
            <w:r w:rsidRPr="00351BC5">
              <w:t>Доходы каждого члена семьи учитываются до вычета налогов и сборов в соответствии с законодательством РФ.</w:t>
            </w:r>
          </w:p>
          <w:p w:rsidR="00351BC5" w:rsidRPr="00351BC5" w:rsidRDefault="00351BC5" w:rsidP="00351BC5">
            <w:pPr>
              <w:ind w:left="-10"/>
              <w:jc w:val="both"/>
            </w:pPr>
            <w:r w:rsidRPr="00351BC5">
              <w:t>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в месяце ее фактического получения, который приходится на расчетный период.</w:t>
            </w:r>
          </w:p>
          <w:p w:rsidR="00351BC5" w:rsidRPr="00351BC5" w:rsidRDefault="00351BC5" w:rsidP="00351BC5">
            <w:pPr>
              <w:ind w:left="-10"/>
              <w:jc w:val="both"/>
            </w:pPr>
            <w:r w:rsidRPr="00351BC5">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за те месяцы, которые приходятся на расчетный период.</w:t>
            </w:r>
          </w:p>
          <w:p w:rsidR="00351BC5" w:rsidRPr="00351BC5" w:rsidRDefault="00351BC5" w:rsidP="00351BC5">
            <w:pPr>
              <w:ind w:left="-10"/>
              <w:jc w:val="both"/>
            </w:pPr>
            <w:r w:rsidRPr="00351BC5">
              <w:t xml:space="preserve">Пособие по беременности и родам включается в доход семьи по времени его фактического получения. При исчислении среднедушевого дохода семьи не </w:t>
            </w:r>
            <w:r w:rsidRPr="00351BC5">
              <w:lastRenderedPageBreak/>
              <w:t>учитываются суммы уплаченных алиментов.</w:t>
            </w:r>
          </w:p>
          <w:p w:rsidR="00351BC5" w:rsidRPr="00351BC5" w:rsidRDefault="00351BC5" w:rsidP="00351BC5">
            <w:pPr>
              <w:ind w:left="-10"/>
              <w:jc w:val="both"/>
            </w:pPr>
            <w:r w:rsidRPr="00351BC5">
              <w:t>Исчисление среднедушевого дохода семьи осуществляется расположенным по месту жительства (месту пребывания) семьи государственным учреждением Иркутской области, подведомственным исполнительному органу государственной власти Иркутской области, уполномоченному Правительством Иркутской области на предоставление ежемесячной денежной выплаты, и включенным в перечень, утвержденный нормативным правовым актом уполномоченного органа.</w:t>
            </w:r>
          </w:p>
          <w:p w:rsidR="006E3925" w:rsidRPr="00097065" w:rsidRDefault="006E3925" w:rsidP="00351BC5">
            <w:pPr>
              <w:ind w:left="-10"/>
              <w:jc w:val="both"/>
              <w:rPr>
                <w:b/>
              </w:rPr>
            </w:pPr>
          </w:p>
        </w:tc>
        <w:tc>
          <w:tcPr>
            <w:tcW w:w="6670" w:type="dxa"/>
          </w:tcPr>
          <w:p w:rsidR="00351BC5" w:rsidRPr="00351BC5" w:rsidRDefault="00351BC5" w:rsidP="00351BC5">
            <w:pPr>
              <w:ind w:left="-10"/>
              <w:jc w:val="both"/>
              <w:rPr>
                <w:b/>
              </w:rPr>
            </w:pPr>
            <w:r w:rsidRPr="00351BC5">
              <w:rPr>
                <w:b/>
              </w:rPr>
              <w:lastRenderedPageBreak/>
              <w:t>Постановление вступает в силу через 10 календарных дней после его официального опубликования и распространяется на правоотношения, возникшие с 17 мая 2015 г.</w:t>
            </w:r>
          </w:p>
          <w:p w:rsidR="00351BC5" w:rsidRDefault="00351BC5" w:rsidP="00351BC5">
            <w:pPr>
              <w:ind w:left="-10"/>
              <w:jc w:val="both"/>
              <w:rPr>
                <w:b/>
              </w:rPr>
            </w:pPr>
          </w:p>
          <w:p w:rsidR="00351BC5" w:rsidRPr="00351BC5" w:rsidRDefault="00351BC5" w:rsidP="00351BC5">
            <w:pPr>
              <w:ind w:left="-10"/>
              <w:jc w:val="both"/>
              <w:rPr>
                <w:b/>
              </w:rPr>
            </w:pPr>
            <w:r w:rsidRPr="00351BC5">
              <w:rPr>
                <w:b/>
              </w:rPr>
              <w:t>Текст постановления опубликован на "Официальном интернет-портале правовой информации" (http://publication.pravo.gov.ru/SignatoryAuthority/region38) 30 июля 2015 г., в газете "Областная" от 21 августа 2015 г. N 93(1409)</w:t>
            </w:r>
          </w:p>
          <w:p w:rsidR="00351BC5" w:rsidRPr="00351BC5" w:rsidRDefault="00351BC5" w:rsidP="00351BC5">
            <w:pPr>
              <w:ind w:left="-10"/>
              <w:jc w:val="both"/>
              <w:rPr>
                <w:b/>
              </w:rPr>
            </w:pPr>
          </w:p>
          <w:p w:rsidR="006E3925" w:rsidRPr="00097065" w:rsidRDefault="006E3925" w:rsidP="008F5DA8">
            <w:pPr>
              <w:ind w:left="-10"/>
              <w:jc w:val="both"/>
              <w:rPr>
                <w:b/>
              </w:rPr>
            </w:pPr>
          </w:p>
        </w:tc>
      </w:tr>
      <w:tr w:rsidR="006E3925" w:rsidTr="00660312">
        <w:tc>
          <w:tcPr>
            <w:tcW w:w="704" w:type="dxa"/>
          </w:tcPr>
          <w:p w:rsidR="006E3925" w:rsidRPr="008F5DA8" w:rsidRDefault="008F5DA8" w:rsidP="00AE400B">
            <w:pPr>
              <w:ind w:left="-10"/>
              <w:jc w:val="center"/>
            </w:pPr>
            <w:r w:rsidRPr="008F5DA8">
              <w:lastRenderedPageBreak/>
              <w:t>2.</w:t>
            </w:r>
          </w:p>
        </w:tc>
        <w:tc>
          <w:tcPr>
            <w:tcW w:w="3015" w:type="dxa"/>
          </w:tcPr>
          <w:p w:rsidR="006E3925" w:rsidRPr="00097065" w:rsidRDefault="00351BC5" w:rsidP="00351BC5">
            <w:pPr>
              <w:ind w:left="-10"/>
              <w:jc w:val="center"/>
              <w:rPr>
                <w:b/>
              </w:rPr>
            </w:pPr>
            <w:r w:rsidRPr="00351BC5">
              <w:rPr>
                <w:b/>
              </w:rPr>
              <w:t>Постановление</w:t>
            </w:r>
            <w:r w:rsidRPr="00351BC5">
              <w:rPr>
                <w:b/>
                <w:bCs/>
              </w:rPr>
              <w:t xml:space="preserve"> Правительства Иркутской области от 27 июля 2015 г. N 359-ПП "О Порядке определения размера среднедушевого дохода в Иркутской области"</w:t>
            </w:r>
          </w:p>
        </w:tc>
        <w:tc>
          <w:tcPr>
            <w:tcW w:w="4350" w:type="dxa"/>
            <w:gridSpan w:val="5"/>
          </w:tcPr>
          <w:p w:rsidR="00351BC5" w:rsidRPr="00351BC5" w:rsidRDefault="00351BC5" w:rsidP="00351BC5">
            <w:pPr>
              <w:ind w:left="-10"/>
              <w:jc w:val="both"/>
            </w:pPr>
            <w:r w:rsidRPr="00351BC5">
              <w:rPr>
                <w:bCs/>
              </w:rPr>
              <w:t>Как определяется размер среднедушевого дохода в Иркутской области?</w:t>
            </w:r>
          </w:p>
          <w:p w:rsidR="00351BC5" w:rsidRPr="00351BC5" w:rsidRDefault="00351BC5" w:rsidP="00351BC5">
            <w:pPr>
              <w:ind w:left="-10"/>
              <w:jc w:val="both"/>
            </w:pPr>
            <w:r w:rsidRPr="00351BC5">
              <w:t>Установлен порядок определения размера среднедушевого дохода в Иркутской области в целях определения права семей на получение ежемесячной денежной выплаты в случае рождения третьего или последующих детей.</w:t>
            </w:r>
          </w:p>
          <w:p w:rsidR="00351BC5" w:rsidRPr="00351BC5" w:rsidRDefault="00351BC5" w:rsidP="00351BC5">
            <w:pPr>
              <w:ind w:left="-10"/>
              <w:jc w:val="both"/>
            </w:pPr>
            <w:r w:rsidRPr="00351BC5">
              <w:t>Министерство социального развития, опеки и попечительства Иркутской области уполномочено на определение размера среднедушевого дохода в Иркутской области.</w:t>
            </w:r>
          </w:p>
          <w:p w:rsidR="00351BC5" w:rsidRPr="00351BC5" w:rsidRDefault="00351BC5" w:rsidP="00351BC5">
            <w:pPr>
              <w:ind w:left="-10"/>
              <w:jc w:val="both"/>
            </w:pPr>
            <w:r w:rsidRPr="00351BC5">
              <w:t>Размер среднедушевого дохода в Иркутской области определяется нормативным правовым актом министерства со</w:t>
            </w:r>
            <w:r w:rsidRPr="00351BC5">
              <w:lastRenderedPageBreak/>
              <w:t>циального развития, опеки и попечительства Иркутской области ежегодно до 1 февраля текущего года.</w:t>
            </w:r>
          </w:p>
          <w:p w:rsidR="00351BC5" w:rsidRPr="00351BC5" w:rsidRDefault="00351BC5" w:rsidP="00351BC5">
            <w:pPr>
              <w:ind w:left="-10"/>
              <w:jc w:val="both"/>
            </w:pPr>
            <w:r w:rsidRPr="00351BC5">
              <w:t>Размер среднедушевого дохода в Иркутской области определяется в размере среднедушевого денежного дохода населения Иркутской области по данным официальной статистической информации территориального органа Федеральной службы государственной статистики по Иркутской области за истекший год.</w:t>
            </w:r>
          </w:p>
          <w:p w:rsidR="00351BC5" w:rsidRPr="00351BC5" w:rsidRDefault="00351BC5" w:rsidP="00351BC5">
            <w:pPr>
              <w:ind w:left="-10"/>
              <w:jc w:val="both"/>
            </w:pPr>
            <w:r w:rsidRPr="00351BC5">
              <w:t>Размер среднедушевого дохода в Иркутской области на 2015 год определяется в размере среднедушевого денежного дохода населения Иркутской области по данным официальной статистической информации территориального органа Федеральной службы государственной статистики по Иркутской области за 2014 год.</w:t>
            </w:r>
          </w:p>
          <w:p w:rsidR="00351BC5" w:rsidRPr="00351BC5" w:rsidRDefault="00351BC5" w:rsidP="00351BC5">
            <w:pPr>
              <w:ind w:left="-10"/>
              <w:jc w:val="both"/>
            </w:pPr>
            <w:r w:rsidRPr="00351BC5">
              <w:t>Информация об определении размера среднедушевого дохода в Иркутской области размещается на официальном сайте министерства социального развития, опеки и попечительства Иркутской области в сети Интернет в течение пяти рабочих дней со дня принятия соответствующего нормативного правового акта.</w:t>
            </w:r>
          </w:p>
          <w:p w:rsidR="00351BC5" w:rsidRPr="00351BC5" w:rsidRDefault="00351BC5" w:rsidP="00351BC5">
            <w:pPr>
              <w:ind w:left="-10"/>
              <w:jc w:val="both"/>
            </w:pPr>
            <w:r w:rsidRPr="00351BC5">
              <w:t>Постановление вступает в силу через 10 календарных дней после его официального опубликования.</w:t>
            </w:r>
          </w:p>
          <w:p w:rsidR="006E3925" w:rsidRPr="00097065" w:rsidRDefault="006E3925" w:rsidP="008F5DA8">
            <w:pPr>
              <w:ind w:left="-10"/>
              <w:jc w:val="both"/>
              <w:rPr>
                <w:b/>
              </w:rPr>
            </w:pPr>
          </w:p>
        </w:tc>
        <w:tc>
          <w:tcPr>
            <w:tcW w:w="6670" w:type="dxa"/>
          </w:tcPr>
          <w:p w:rsidR="00351BC5" w:rsidRPr="00351BC5" w:rsidRDefault="00351BC5" w:rsidP="00351BC5">
            <w:pPr>
              <w:ind w:left="-10"/>
              <w:jc w:val="both"/>
              <w:rPr>
                <w:b/>
              </w:rPr>
            </w:pPr>
            <w:r w:rsidRPr="00351BC5">
              <w:rPr>
                <w:b/>
              </w:rPr>
              <w:lastRenderedPageBreak/>
              <w:t>Настоящее постановление вступает в силу через 10 дней после его официального опубликования</w:t>
            </w:r>
          </w:p>
          <w:p w:rsidR="00351BC5" w:rsidRPr="00351BC5" w:rsidRDefault="00351BC5" w:rsidP="00351BC5">
            <w:pPr>
              <w:ind w:left="-10"/>
              <w:jc w:val="both"/>
              <w:rPr>
                <w:b/>
              </w:rPr>
            </w:pPr>
          </w:p>
          <w:p w:rsidR="00351BC5" w:rsidRPr="00351BC5" w:rsidRDefault="00351BC5" w:rsidP="00351BC5">
            <w:pPr>
              <w:ind w:left="-10"/>
              <w:jc w:val="both"/>
              <w:rPr>
                <w:b/>
              </w:rPr>
            </w:pPr>
            <w:r w:rsidRPr="00351BC5">
              <w:rPr>
                <w:b/>
              </w:rPr>
              <w:t>Текст постановления опубликован на "Официальном интернет-портале правовой информации" (http://publication.pravo.gov.ru/SignatoryAuthority/region38) 30 июля 2015 г., в газете "Областная" от 21 августа 2015 г. N 93(1409)</w:t>
            </w:r>
          </w:p>
          <w:p w:rsidR="00351BC5" w:rsidRPr="00351BC5" w:rsidRDefault="00351BC5" w:rsidP="00351BC5">
            <w:pPr>
              <w:ind w:left="-10"/>
              <w:jc w:val="both"/>
              <w:rPr>
                <w:b/>
              </w:rPr>
            </w:pPr>
          </w:p>
          <w:p w:rsidR="006E3925" w:rsidRPr="00097065" w:rsidRDefault="006E3925" w:rsidP="008F5DA8">
            <w:pPr>
              <w:ind w:left="-10"/>
              <w:jc w:val="both"/>
              <w:rPr>
                <w:b/>
              </w:rPr>
            </w:pPr>
          </w:p>
        </w:tc>
      </w:tr>
      <w:tr w:rsidR="00351BC5" w:rsidTr="00660312">
        <w:tc>
          <w:tcPr>
            <w:tcW w:w="704" w:type="dxa"/>
          </w:tcPr>
          <w:p w:rsidR="00351BC5" w:rsidRPr="008F5DA8" w:rsidRDefault="00351BC5" w:rsidP="00AE400B">
            <w:pPr>
              <w:ind w:left="-10"/>
              <w:jc w:val="center"/>
            </w:pPr>
            <w:r>
              <w:lastRenderedPageBreak/>
              <w:t>3.</w:t>
            </w:r>
          </w:p>
        </w:tc>
        <w:tc>
          <w:tcPr>
            <w:tcW w:w="3015" w:type="dxa"/>
          </w:tcPr>
          <w:p w:rsidR="00351BC5" w:rsidRPr="00351BC5" w:rsidRDefault="00351BC5" w:rsidP="00351BC5">
            <w:pPr>
              <w:ind w:left="-10"/>
              <w:jc w:val="center"/>
              <w:rPr>
                <w:b/>
              </w:rPr>
            </w:pPr>
            <w:r w:rsidRPr="00351BC5">
              <w:rPr>
                <w:b/>
              </w:rPr>
              <w:t>Постановление</w:t>
            </w:r>
            <w:r w:rsidRPr="00351BC5">
              <w:rPr>
                <w:b/>
                <w:bCs/>
              </w:rPr>
              <w:t xml:space="preserve"> Правительства Иркутской области от 17 августа 2015 г. N 397-ПП "Об индексации размера ежемесячного пособия на ребенка"</w:t>
            </w:r>
          </w:p>
          <w:p w:rsidR="00351BC5" w:rsidRPr="00351BC5" w:rsidRDefault="00351BC5" w:rsidP="00351BC5">
            <w:pPr>
              <w:ind w:left="-10"/>
              <w:jc w:val="center"/>
              <w:rPr>
                <w:b/>
              </w:rPr>
            </w:pPr>
          </w:p>
          <w:p w:rsidR="00351BC5" w:rsidRPr="00351BC5" w:rsidRDefault="00351BC5" w:rsidP="00351BC5">
            <w:pPr>
              <w:ind w:left="-10"/>
              <w:jc w:val="center"/>
              <w:rPr>
                <w:b/>
              </w:rPr>
            </w:pPr>
          </w:p>
        </w:tc>
        <w:tc>
          <w:tcPr>
            <w:tcW w:w="4350" w:type="dxa"/>
            <w:gridSpan w:val="5"/>
          </w:tcPr>
          <w:p w:rsidR="00351BC5" w:rsidRPr="00351BC5" w:rsidRDefault="00351BC5" w:rsidP="00351BC5">
            <w:pPr>
              <w:ind w:left="-10"/>
              <w:jc w:val="both"/>
              <w:rPr>
                <w:bCs/>
              </w:rPr>
            </w:pPr>
            <w:r w:rsidRPr="00351BC5">
              <w:rPr>
                <w:b/>
                <w:bCs/>
              </w:rPr>
              <w:t>С 1 января 2016 г. будет проиндексирован размер ежемесячного пособия на ребенка.</w:t>
            </w:r>
          </w:p>
          <w:p w:rsidR="00351BC5" w:rsidRPr="00351BC5" w:rsidRDefault="00351BC5" w:rsidP="00351BC5">
            <w:pPr>
              <w:ind w:left="-10"/>
              <w:jc w:val="both"/>
              <w:rPr>
                <w:bCs/>
              </w:rPr>
            </w:pPr>
            <w:r w:rsidRPr="00351BC5">
              <w:rPr>
                <w:bCs/>
              </w:rPr>
              <w:t>С 1 января 2016 г. предписано произвести индексацию размера ежемесячного пособия на ребенка, установленного Законом Иркутской области от 17 декабря 2008 г. N 130-ОЗ "О ежемесячном пособии на ребенка в Иркутской области", с применением коэффициента 1,0217.</w:t>
            </w:r>
          </w:p>
          <w:p w:rsidR="00351BC5" w:rsidRPr="00351BC5" w:rsidRDefault="00351BC5" w:rsidP="00351BC5">
            <w:pPr>
              <w:ind w:left="-10"/>
              <w:jc w:val="both"/>
              <w:rPr>
                <w:bCs/>
              </w:rPr>
            </w:pPr>
            <w:r w:rsidRPr="00351BC5">
              <w:rPr>
                <w:bCs/>
              </w:rPr>
              <w:t>При расчете размера ежемесячного пособия на ребенка с применением данного коэффициента результаты индексации округляются до целых копеек в большую сторону.</w:t>
            </w:r>
          </w:p>
          <w:p w:rsidR="00351BC5" w:rsidRPr="00351BC5" w:rsidRDefault="00351BC5" w:rsidP="00351BC5">
            <w:pPr>
              <w:ind w:left="-10"/>
              <w:jc w:val="both"/>
              <w:rPr>
                <w:bCs/>
              </w:rPr>
            </w:pPr>
            <w:r w:rsidRPr="00351BC5">
              <w:rPr>
                <w:bCs/>
              </w:rPr>
              <w:t>Постановление вступает в силу через 10 календарных дней после его официального опубликования.</w:t>
            </w:r>
          </w:p>
          <w:p w:rsidR="00351BC5" w:rsidRPr="00351BC5" w:rsidRDefault="00351BC5" w:rsidP="00351BC5">
            <w:pPr>
              <w:ind w:left="-10"/>
              <w:jc w:val="both"/>
              <w:rPr>
                <w:bCs/>
              </w:rPr>
            </w:pPr>
          </w:p>
          <w:p w:rsidR="00351BC5" w:rsidRPr="00351BC5" w:rsidRDefault="00351BC5" w:rsidP="00351BC5">
            <w:pPr>
              <w:ind w:left="-10"/>
              <w:jc w:val="both"/>
              <w:rPr>
                <w:bCs/>
              </w:rPr>
            </w:pPr>
          </w:p>
        </w:tc>
        <w:tc>
          <w:tcPr>
            <w:tcW w:w="6670" w:type="dxa"/>
          </w:tcPr>
          <w:p w:rsidR="00351BC5" w:rsidRPr="00351BC5" w:rsidRDefault="00351BC5" w:rsidP="00351BC5">
            <w:pPr>
              <w:ind w:left="-10"/>
              <w:jc w:val="both"/>
              <w:rPr>
                <w:b/>
              </w:rPr>
            </w:pPr>
            <w:r w:rsidRPr="00351BC5">
              <w:rPr>
                <w:b/>
              </w:rPr>
              <w:t>Настоящее постановление вступает в силу через 10 дней после его официального опубликования</w:t>
            </w:r>
          </w:p>
          <w:p w:rsidR="00351BC5" w:rsidRPr="00351BC5" w:rsidRDefault="00351BC5" w:rsidP="00351BC5">
            <w:pPr>
              <w:ind w:left="-10"/>
              <w:jc w:val="both"/>
              <w:rPr>
                <w:b/>
              </w:rPr>
            </w:pPr>
          </w:p>
          <w:p w:rsidR="00351BC5" w:rsidRPr="00351BC5" w:rsidRDefault="00351BC5" w:rsidP="00351BC5">
            <w:pPr>
              <w:ind w:left="-10"/>
              <w:jc w:val="both"/>
              <w:rPr>
                <w:b/>
              </w:rPr>
            </w:pPr>
            <w:r w:rsidRPr="00351BC5">
              <w:rPr>
                <w:b/>
              </w:rPr>
              <w:t>Текст постановления опубликован на "Официальном интернет-портале правовой информации" (http://publication.pravo.gov.ru/SignatoryAuthority/region38) 19 августа 2015 г., в газете "Областная" от 11 сентября 2015 г. N 102(1418)</w:t>
            </w:r>
          </w:p>
          <w:p w:rsidR="00351BC5" w:rsidRPr="00351BC5" w:rsidRDefault="00351BC5" w:rsidP="00351BC5">
            <w:pPr>
              <w:ind w:left="-10"/>
              <w:jc w:val="both"/>
              <w:rPr>
                <w:b/>
              </w:rPr>
            </w:pPr>
          </w:p>
          <w:p w:rsidR="00351BC5" w:rsidRPr="00351BC5" w:rsidRDefault="00351BC5" w:rsidP="00351BC5">
            <w:pPr>
              <w:ind w:left="-10"/>
              <w:jc w:val="both"/>
              <w:rPr>
                <w:b/>
              </w:rPr>
            </w:pPr>
          </w:p>
          <w:p w:rsidR="00351BC5" w:rsidRPr="00351BC5" w:rsidRDefault="00351BC5" w:rsidP="00351BC5">
            <w:pPr>
              <w:ind w:left="-10"/>
              <w:jc w:val="both"/>
              <w:rPr>
                <w:b/>
              </w:rPr>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24" w:rsidRDefault="00286324" w:rsidP="005A483A">
      <w:r>
        <w:separator/>
      </w:r>
    </w:p>
  </w:endnote>
  <w:endnote w:type="continuationSeparator" w:id="0">
    <w:p w:rsidR="00286324" w:rsidRDefault="00286324"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24" w:rsidRDefault="00286324" w:rsidP="005A483A">
      <w:r>
        <w:separator/>
      </w:r>
    </w:p>
  </w:footnote>
  <w:footnote w:type="continuationSeparator" w:id="0">
    <w:p w:rsidR="00286324" w:rsidRDefault="00286324"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718E"/>
    <w:rsid w:val="000078C7"/>
    <w:rsid w:val="000164A2"/>
    <w:rsid w:val="00022582"/>
    <w:rsid w:val="00023C7C"/>
    <w:rsid w:val="00023D95"/>
    <w:rsid w:val="000351B4"/>
    <w:rsid w:val="00037EA7"/>
    <w:rsid w:val="000638B5"/>
    <w:rsid w:val="00071473"/>
    <w:rsid w:val="000760AE"/>
    <w:rsid w:val="00094E8C"/>
    <w:rsid w:val="00097065"/>
    <w:rsid w:val="000B7527"/>
    <w:rsid w:val="000E2071"/>
    <w:rsid w:val="000F6AE1"/>
    <w:rsid w:val="001031DF"/>
    <w:rsid w:val="00104396"/>
    <w:rsid w:val="001112BE"/>
    <w:rsid w:val="00117818"/>
    <w:rsid w:val="00124CCA"/>
    <w:rsid w:val="00133E39"/>
    <w:rsid w:val="00135750"/>
    <w:rsid w:val="001439F0"/>
    <w:rsid w:val="00143ACD"/>
    <w:rsid w:val="00166B8C"/>
    <w:rsid w:val="001969E0"/>
    <w:rsid w:val="00197745"/>
    <w:rsid w:val="001A0285"/>
    <w:rsid w:val="001A047C"/>
    <w:rsid w:val="001A4C4B"/>
    <w:rsid w:val="001C04E7"/>
    <w:rsid w:val="001C12F9"/>
    <w:rsid w:val="001C7D47"/>
    <w:rsid w:val="001E3030"/>
    <w:rsid w:val="001F3C83"/>
    <w:rsid w:val="001F6E3E"/>
    <w:rsid w:val="001F785B"/>
    <w:rsid w:val="0020311D"/>
    <w:rsid w:val="00203B81"/>
    <w:rsid w:val="00210743"/>
    <w:rsid w:val="0021085A"/>
    <w:rsid w:val="002165CC"/>
    <w:rsid w:val="002478E5"/>
    <w:rsid w:val="002566A6"/>
    <w:rsid w:val="00286324"/>
    <w:rsid w:val="002A01BE"/>
    <w:rsid w:val="002C618F"/>
    <w:rsid w:val="002D44E4"/>
    <w:rsid w:val="002D791E"/>
    <w:rsid w:val="002D7AE7"/>
    <w:rsid w:val="002E1827"/>
    <w:rsid w:val="002F309F"/>
    <w:rsid w:val="002F321C"/>
    <w:rsid w:val="002F677F"/>
    <w:rsid w:val="0030097A"/>
    <w:rsid w:val="00340593"/>
    <w:rsid w:val="00342360"/>
    <w:rsid w:val="003509A7"/>
    <w:rsid w:val="00351BC5"/>
    <w:rsid w:val="00352FAA"/>
    <w:rsid w:val="003739F7"/>
    <w:rsid w:val="00375718"/>
    <w:rsid w:val="00375F64"/>
    <w:rsid w:val="003763F0"/>
    <w:rsid w:val="00377F11"/>
    <w:rsid w:val="003808EB"/>
    <w:rsid w:val="00394C2D"/>
    <w:rsid w:val="00394DC3"/>
    <w:rsid w:val="003A0547"/>
    <w:rsid w:val="003A406D"/>
    <w:rsid w:val="003B4DBA"/>
    <w:rsid w:val="003B6DD6"/>
    <w:rsid w:val="003C2267"/>
    <w:rsid w:val="003C4BAC"/>
    <w:rsid w:val="003D0141"/>
    <w:rsid w:val="003D541D"/>
    <w:rsid w:val="003E2093"/>
    <w:rsid w:val="003E35B3"/>
    <w:rsid w:val="003E6161"/>
    <w:rsid w:val="003F5953"/>
    <w:rsid w:val="003F6CED"/>
    <w:rsid w:val="003F6D7F"/>
    <w:rsid w:val="00400083"/>
    <w:rsid w:val="004022B3"/>
    <w:rsid w:val="0041106B"/>
    <w:rsid w:val="00426DB1"/>
    <w:rsid w:val="00427AAD"/>
    <w:rsid w:val="004464E0"/>
    <w:rsid w:val="00460C4A"/>
    <w:rsid w:val="00461B56"/>
    <w:rsid w:val="00471EAE"/>
    <w:rsid w:val="00491FBE"/>
    <w:rsid w:val="004928D9"/>
    <w:rsid w:val="00496B9C"/>
    <w:rsid w:val="00497911"/>
    <w:rsid w:val="004A5756"/>
    <w:rsid w:val="004A6B73"/>
    <w:rsid w:val="004B16A2"/>
    <w:rsid w:val="004B56FE"/>
    <w:rsid w:val="004D3EF2"/>
    <w:rsid w:val="004D5165"/>
    <w:rsid w:val="00503032"/>
    <w:rsid w:val="00503396"/>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C5D29"/>
    <w:rsid w:val="005D7FB5"/>
    <w:rsid w:val="005E7B5C"/>
    <w:rsid w:val="005F0D9B"/>
    <w:rsid w:val="00607E44"/>
    <w:rsid w:val="00611039"/>
    <w:rsid w:val="00614B2D"/>
    <w:rsid w:val="00622121"/>
    <w:rsid w:val="00626C04"/>
    <w:rsid w:val="006270DD"/>
    <w:rsid w:val="00637E51"/>
    <w:rsid w:val="00651AFD"/>
    <w:rsid w:val="006566C0"/>
    <w:rsid w:val="00660312"/>
    <w:rsid w:val="006633A2"/>
    <w:rsid w:val="00665672"/>
    <w:rsid w:val="006678FA"/>
    <w:rsid w:val="00685961"/>
    <w:rsid w:val="006A66F4"/>
    <w:rsid w:val="006B3E28"/>
    <w:rsid w:val="006B550D"/>
    <w:rsid w:val="006C16F9"/>
    <w:rsid w:val="006D0543"/>
    <w:rsid w:val="006E0AC8"/>
    <w:rsid w:val="006E1414"/>
    <w:rsid w:val="006E3925"/>
    <w:rsid w:val="006E66BA"/>
    <w:rsid w:val="006F0A17"/>
    <w:rsid w:val="006F4843"/>
    <w:rsid w:val="007149C7"/>
    <w:rsid w:val="00720121"/>
    <w:rsid w:val="0074053E"/>
    <w:rsid w:val="00743C99"/>
    <w:rsid w:val="00746BDA"/>
    <w:rsid w:val="00752DD4"/>
    <w:rsid w:val="00755130"/>
    <w:rsid w:val="0075580A"/>
    <w:rsid w:val="00760F0D"/>
    <w:rsid w:val="00771C9D"/>
    <w:rsid w:val="00780DA0"/>
    <w:rsid w:val="00781A4F"/>
    <w:rsid w:val="007B39B7"/>
    <w:rsid w:val="007C6477"/>
    <w:rsid w:val="007D22B6"/>
    <w:rsid w:val="007D27EC"/>
    <w:rsid w:val="007D3565"/>
    <w:rsid w:val="007F1411"/>
    <w:rsid w:val="007F63AF"/>
    <w:rsid w:val="00803442"/>
    <w:rsid w:val="0081248A"/>
    <w:rsid w:val="00813ADF"/>
    <w:rsid w:val="00814743"/>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A0AC9"/>
    <w:rsid w:val="008A38D6"/>
    <w:rsid w:val="008A4F7B"/>
    <w:rsid w:val="008B54A5"/>
    <w:rsid w:val="008B68B2"/>
    <w:rsid w:val="008D4291"/>
    <w:rsid w:val="008E0F42"/>
    <w:rsid w:val="008F3386"/>
    <w:rsid w:val="008F5DA8"/>
    <w:rsid w:val="008F6FD6"/>
    <w:rsid w:val="008F75CA"/>
    <w:rsid w:val="00916CA8"/>
    <w:rsid w:val="009506B9"/>
    <w:rsid w:val="00951BE8"/>
    <w:rsid w:val="0095377C"/>
    <w:rsid w:val="00965138"/>
    <w:rsid w:val="0097209D"/>
    <w:rsid w:val="00976659"/>
    <w:rsid w:val="00977FE6"/>
    <w:rsid w:val="009853CF"/>
    <w:rsid w:val="00990462"/>
    <w:rsid w:val="00994064"/>
    <w:rsid w:val="00994708"/>
    <w:rsid w:val="009B3724"/>
    <w:rsid w:val="009B5FDC"/>
    <w:rsid w:val="009C1068"/>
    <w:rsid w:val="009C6E34"/>
    <w:rsid w:val="009D7790"/>
    <w:rsid w:val="009E072C"/>
    <w:rsid w:val="009E1323"/>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D0BED"/>
    <w:rsid w:val="00AD60EE"/>
    <w:rsid w:val="00AE199E"/>
    <w:rsid w:val="00AE2BF0"/>
    <w:rsid w:val="00AE2C7F"/>
    <w:rsid w:val="00AE3B80"/>
    <w:rsid w:val="00AE400B"/>
    <w:rsid w:val="00AF4AD4"/>
    <w:rsid w:val="00AF531E"/>
    <w:rsid w:val="00B12ACD"/>
    <w:rsid w:val="00B16C9D"/>
    <w:rsid w:val="00B26E50"/>
    <w:rsid w:val="00B374C8"/>
    <w:rsid w:val="00B411F4"/>
    <w:rsid w:val="00B432C0"/>
    <w:rsid w:val="00B64330"/>
    <w:rsid w:val="00B6708A"/>
    <w:rsid w:val="00B751DC"/>
    <w:rsid w:val="00B85366"/>
    <w:rsid w:val="00B95E26"/>
    <w:rsid w:val="00BA4CBA"/>
    <w:rsid w:val="00BB06BD"/>
    <w:rsid w:val="00BB1964"/>
    <w:rsid w:val="00BB67AB"/>
    <w:rsid w:val="00BC15C5"/>
    <w:rsid w:val="00BC2894"/>
    <w:rsid w:val="00BD4206"/>
    <w:rsid w:val="00BD4C35"/>
    <w:rsid w:val="00BD6FC7"/>
    <w:rsid w:val="00BF0267"/>
    <w:rsid w:val="00C014A2"/>
    <w:rsid w:val="00C01CBA"/>
    <w:rsid w:val="00C15892"/>
    <w:rsid w:val="00C16837"/>
    <w:rsid w:val="00C1765F"/>
    <w:rsid w:val="00C223AE"/>
    <w:rsid w:val="00C37622"/>
    <w:rsid w:val="00C4037D"/>
    <w:rsid w:val="00C45D78"/>
    <w:rsid w:val="00C51108"/>
    <w:rsid w:val="00C55013"/>
    <w:rsid w:val="00C70FA3"/>
    <w:rsid w:val="00C73322"/>
    <w:rsid w:val="00C8224D"/>
    <w:rsid w:val="00C84DE9"/>
    <w:rsid w:val="00C86CAC"/>
    <w:rsid w:val="00C968FE"/>
    <w:rsid w:val="00CC5A15"/>
    <w:rsid w:val="00CC7203"/>
    <w:rsid w:val="00CD561E"/>
    <w:rsid w:val="00CE3982"/>
    <w:rsid w:val="00CF673A"/>
    <w:rsid w:val="00D025F7"/>
    <w:rsid w:val="00D05291"/>
    <w:rsid w:val="00D11E9F"/>
    <w:rsid w:val="00D22C6F"/>
    <w:rsid w:val="00D2466F"/>
    <w:rsid w:val="00D2635E"/>
    <w:rsid w:val="00D264EE"/>
    <w:rsid w:val="00D53C8A"/>
    <w:rsid w:val="00D54AA3"/>
    <w:rsid w:val="00D67F94"/>
    <w:rsid w:val="00D7128D"/>
    <w:rsid w:val="00DA61E2"/>
    <w:rsid w:val="00DB13A7"/>
    <w:rsid w:val="00DB2EF2"/>
    <w:rsid w:val="00DB64C6"/>
    <w:rsid w:val="00DD3F68"/>
    <w:rsid w:val="00DD632C"/>
    <w:rsid w:val="00DE4842"/>
    <w:rsid w:val="00DE4D17"/>
    <w:rsid w:val="00DE7F38"/>
    <w:rsid w:val="00DF1506"/>
    <w:rsid w:val="00DF7F49"/>
    <w:rsid w:val="00E043A1"/>
    <w:rsid w:val="00E17D8B"/>
    <w:rsid w:val="00E3198E"/>
    <w:rsid w:val="00E40624"/>
    <w:rsid w:val="00E515BB"/>
    <w:rsid w:val="00E63961"/>
    <w:rsid w:val="00E74822"/>
    <w:rsid w:val="00E749D4"/>
    <w:rsid w:val="00EB209A"/>
    <w:rsid w:val="00EB307D"/>
    <w:rsid w:val="00EB4637"/>
    <w:rsid w:val="00EC017C"/>
    <w:rsid w:val="00EC7DA8"/>
    <w:rsid w:val="00EE0A3F"/>
    <w:rsid w:val="00EE0E1F"/>
    <w:rsid w:val="00EE778B"/>
    <w:rsid w:val="00EF6072"/>
    <w:rsid w:val="00F10272"/>
    <w:rsid w:val="00F174B2"/>
    <w:rsid w:val="00F17EFC"/>
    <w:rsid w:val="00F237E1"/>
    <w:rsid w:val="00F5085C"/>
    <w:rsid w:val="00F55DB2"/>
    <w:rsid w:val="00F73D3B"/>
    <w:rsid w:val="00F82C10"/>
    <w:rsid w:val="00F875A2"/>
    <w:rsid w:val="00F9694E"/>
    <w:rsid w:val="00FA4D29"/>
    <w:rsid w:val="00FA78D7"/>
    <w:rsid w:val="00FC3B2E"/>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3A58-4EC2-4FC6-80DA-023D32F4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4719</Words>
  <Characters>26900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4</cp:revision>
  <dcterms:created xsi:type="dcterms:W3CDTF">2015-09-16T09:55:00Z</dcterms:created>
  <dcterms:modified xsi:type="dcterms:W3CDTF">2015-09-29T08:41:00Z</dcterms:modified>
</cp:coreProperties>
</file>