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9C1068">
        <w:rPr>
          <w:b/>
          <w:szCs w:val="24"/>
        </w:rPr>
        <w:t>ию</w:t>
      </w:r>
      <w:r w:rsidR="006E3925">
        <w:rPr>
          <w:b/>
          <w:szCs w:val="24"/>
        </w:rPr>
        <w:t>л</w:t>
      </w:r>
      <w:r w:rsidR="009C1068">
        <w:rPr>
          <w:b/>
          <w:szCs w:val="24"/>
        </w:rPr>
        <w:t xml:space="preserve">ь </w:t>
      </w:r>
      <w:r w:rsidR="00DF7F49">
        <w:rPr>
          <w:b/>
          <w:szCs w:val="24"/>
        </w:rPr>
        <w:t>2015</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704"/>
        <w:gridCol w:w="3015"/>
        <w:gridCol w:w="30"/>
        <w:gridCol w:w="40"/>
        <w:gridCol w:w="4243"/>
        <w:gridCol w:w="7"/>
        <w:gridCol w:w="30"/>
        <w:gridCol w:w="6670"/>
      </w:tblGrid>
      <w:tr w:rsidR="005A483A" w:rsidTr="00660312">
        <w:tc>
          <w:tcPr>
            <w:tcW w:w="704" w:type="dxa"/>
          </w:tcPr>
          <w:p w:rsidR="005A483A" w:rsidRPr="005B7836" w:rsidRDefault="005A483A" w:rsidP="00BC2894">
            <w:pPr>
              <w:rPr>
                <w:b/>
              </w:rPr>
            </w:pPr>
            <w:r w:rsidRPr="005B7836">
              <w:rPr>
                <w:b/>
              </w:rPr>
              <w:t>№</w:t>
            </w:r>
          </w:p>
        </w:tc>
        <w:tc>
          <w:tcPr>
            <w:tcW w:w="3085" w:type="dxa"/>
            <w:gridSpan w:val="3"/>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4243"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6707"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660312">
        <w:tc>
          <w:tcPr>
            <w:tcW w:w="704" w:type="dxa"/>
          </w:tcPr>
          <w:p w:rsidR="006E3925" w:rsidRDefault="006E3925" w:rsidP="006E3925">
            <w:pPr>
              <w:jc w:val="center"/>
            </w:pPr>
          </w:p>
        </w:tc>
        <w:tc>
          <w:tcPr>
            <w:tcW w:w="14035" w:type="dxa"/>
            <w:gridSpan w:val="7"/>
          </w:tcPr>
          <w:p w:rsidR="006E3925" w:rsidRDefault="006E3925" w:rsidP="005A483A">
            <w:pPr>
              <w:jc w:val="center"/>
            </w:pPr>
            <w:r w:rsidRPr="005B7836">
              <w:rPr>
                <w:b/>
                <w:bCs/>
              </w:rPr>
              <w:t>ФЕДЕРАЛЬНОЕ ЗАКОНОДАТЕЛЬСТВО</w:t>
            </w:r>
          </w:p>
        </w:tc>
      </w:tr>
      <w:tr w:rsidR="006E3925" w:rsidTr="00660312">
        <w:tc>
          <w:tcPr>
            <w:tcW w:w="704" w:type="dxa"/>
          </w:tcPr>
          <w:p w:rsidR="006E3925" w:rsidRPr="00660312" w:rsidRDefault="006E3925" w:rsidP="00660312">
            <w:pPr>
              <w:pStyle w:val="ab"/>
              <w:numPr>
                <w:ilvl w:val="0"/>
                <w:numId w:val="4"/>
              </w:numPr>
              <w:ind w:left="171" w:firstLine="0"/>
              <w:jc w:val="center"/>
              <w:rPr>
                <w:b/>
                <w:bCs/>
              </w:rPr>
            </w:pPr>
          </w:p>
        </w:tc>
        <w:tc>
          <w:tcPr>
            <w:tcW w:w="3045" w:type="dxa"/>
            <w:gridSpan w:val="2"/>
          </w:tcPr>
          <w:p w:rsidR="00660312" w:rsidRPr="00660312" w:rsidRDefault="00660312" w:rsidP="00660312">
            <w:pPr>
              <w:jc w:val="both"/>
              <w:rPr>
                <w:bCs/>
              </w:rPr>
            </w:pPr>
            <w:r w:rsidRPr="00660312">
              <w:rPr>
                <w:bCs/>
              </w:rPr>
              <w:t xml:space="preserve">Федеральный закон от 29.06.2015 </w:t>
            </w:r>
            <w:r>
              <w:rPr>
                <w:bCs/>
              </w:rPr>
              <w:t>№</w:t>
            </w:r>
            <w:r w:rsidRPr="00660312">
              <w:rPr>
                <w:bCs/>
              </w:rPr>
              <w:t xml:space="preserve"> 209-ФЗ</w:t>
            </w:r>
          </w:p>
          <w:p w:rsidR="00660312" w:rsidRPr="00660312" w:rsidRDefault="00660312" w:rsidP="00660312">
            <w:pPr>
              <w:jc w:val="both"/>
              <w:rPr>
                <w:bCs/>
              </w:rPr>
            </w:pPr>
            <w:r w:rsidRPr="00660312">
              <w:rPr>
                <w:bCs/>
              </w:rPr>
              <w: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w:t>
            </w:r>
          </w:p>
          <w:p w:rsidR="006E3925" w:rsidRPr="005B7836" w:rsidRDefault="006E3925" w:rsidP="005A483A">
            <w:pPr>
              <w:jc w:val="center"/>
              <w:rPr>
                <w:b/>
                <w:bCs/>
              </w:rPr>
            </w:pPr>
          </w:p>
        </w:tc>
        <w:tc>
          <w:tcPr>
            <w:tcW w:w="4290" w:type="dxa"/>
            <w:gridSpan w:val="3"/>
          </w:tcPr>
          <w:p w:rsidR="00660312" w:rsidRPr="00461B56" w:rsidRDefault="00660312" w:rsidP="00660312">
            <w:pPr>
              <w:autoSpaceDE w:val="0"/>
              <w:autoSpaceDN w:val="0"/>
              <w:adjustRightInd w:val="0"/>
              <w:ind w:firstLine="540"/>
              <w:jc w:val="both"/>
              <w:rPr>
                <w:rFonts w:eastAsiaTheme="minorHAnsi"/>
                <w:b/>
                <w:bCs/>
                <w:lang w:eastAsia="en-US"/>
              </w:rPr>
            </w:pPr>
            <w:r w:rsidRPr="00461B56">
              <w:rPr>
                <w:rFonts w:eastAsiaTheme="minorHAnsi"/>
                <w:b/>
                <w:bCs/>
                <w:lang w:eastAsia="en-US"/>
              </w:rPr>
              <w:t>Для обществ с ограниченной ответственностью введена возможность действовать на основе типового устава</w:t>
            </w:r>
          </w:p>
          <w:p w:rsidR="00660312" w:rsidRPr="00660312" w:rsidRDefault="00660312" w:rsidP="00660312">
            <w:pPr>
              <w:autoSpaceDE w:val="0"/>
              <w:autoSpaceDN w:val="0"/>
              <w:adjustRightInd w:val="0"/>
              <w:ind w:firstLine="540"/>
              <w:jc w:val="both"/>
              <w:rPr>
                <w:rFonts w:eastAsiaTheme="minorHAnsi"/>
                <w:bCs/>
                <w:lang w:eastAsia="en-US"/>
              </w:rPr>
            </w:pPr>
            <w:r w:rsidRPr="00660312">
              <w:rPr>
                <w:rFonts w:eastAsiaTheme="minorHAnsi"/>
                <w:bCs/>
                <w:lang w:eastAsia="en-US"/>
              </w:rPr>
              <w:t>Типовые уставы утверждаются уполномоченным Правительством РФ федеральным органом исполнительной власти.</w:t>
            </w:r>
          </w:p>
          <w:p w:rsidR="00660312" w:rsidRPr="00660312" w:rsidRDefault="00660312" w:rsidP="00660312">
            <w:pPr>
              <w:autoSpaceDE w:val="0"/>
              <w:autoSpaceDN w:val="0"/>
              <w:adjustRightInd w:val="0"/>
              <w:ind w:firstLine="540"/>
              <w:jc w:val="both"/>
              <w:rPr>
                <w:rFonts w:eastAsiaTheme="minorHAnsi"/>
                <w:bCs/>
                <w:lang w:eastAsia="en-US"/>
              </w:rPr>
            </w:pPr>
            <w:r w:rsidRPr="00660312">
              <w:rPr>
                <w:rFonts w:eastAsiaTheme="minorHAnsi"/>
                <w:bCs/>
                <w:lang w:eastAsia="en-US"/>
              </w:rPr>
              <w:t xml:space="preserve">Общее собрание учредителей общества с ограниченной ответственностью имеет право принять решение о том, что общество будет действовать на основании такого типового устава. Для целей регистрации юридического лица, </w:t>
            </w:r>
            <w:r w:rsidRPr="00660312">
              <w:rPr>
                <w:rFonts w:eastAsiaTheme="minorHAnsi"/>
                <w:bCs/>
                <w:lang w:eastAsia="en-US"/>
              </w:rPr>
              <w:lastRenderedPageBreak/>
              <w:t>действующего на основе типового устава, в регистрирующий орган представлять устав ни в бумажной, ни в электронной форме не требуется. Индивидуальные сведения о конкретном юридическом лице будут содержаться только в ЕГРЮЛ.</w:t>
            </w:r>
          </w:p>
          <w:p w:rsidR="00660312" w:rsidRPr="00660312" w:rsidRDefault="00660312" w:rsidP="00660312">
            <w:pPr>
              <w:autoSpaceDE w:val="0"/>
              <w:autoSpaceDN w:val="0"/>
              <w:adjustRightInd w:val="0"/>
              <w:ind w:firstLine="540"/>
              <w:jc w:val="both"/>
              <w:rPr>
                <w:rFonts w:eastAsiaTheme="minorHAnsi"/>
                <w:bCs/>
                <w:lang w:eastAsia="en-US"/>
              </w:rPr>
            </w:pPr>
            <w:r w:rsidRPr="00660312">
              <w:rPr>
                <w:rFonts w:eastAsiaTheme="minorHAnsi"/>
                <w:bCs/>
                <w:lang w:eastAsia="en-US"/>
              </w:rPr>
              <w:t>Отметим, что для обществ с ограниченной ответственностью сохраняется возможность разработки своих уставов, которые именуются "уставами, утвержденными учредителями (участниками) общества".</w:t>
            </w:r>
          </w:p>
          <w:p w:rsidR="00660312" w:rsidRPr="00660312" w:rsidRDefault="00660312" w:rsidP="00660312">
            <w:pPr>
              <w:autoSpaceDE w:val="0"/>
              <w:autoSpaceDN w:val="0"/>
              <w:adjustRightInd w:val="0"/>
              <w:ind w:firstLine="540"/>
              <w:jc w:val="both"/>
              <w:rPr>
                <w:rFonts w:eastAsiaTheme="minorHAnsi"/>
                <w:bCs/>
                <w:lang w:eastAsia="en-US"/>
              </w:rPr>
            </w:pPr>
            <w:r w:rsidRPr="00660312">
              <w:rPr>
                <w:rFonts w:eastAsiaTheme="minorHAnsi"/>
                <w:bCs/>
                <w:lang w:eastAsia="en-US"/>
              </w:rPr>
              <w:t>Кроме того, общество может переходить с типового устава на индивидуальный и наоборот в любой момент своей деятельности.</w:t>
            </w:r>
          </w:p>
          <w:p w:rsidR="006E3925" w:rsidRPr="00660312" w:rsidRDefault="00660312" w:rsidP="00660312">
            <w:pPr>
              <w:autoSpaceDE w:val="0"/>
              <w:autoSpaceDN w:val="0"/>
              <w:adjustRightInd w:val="0"/>
              <w:ind w:firstLine="540"/>
              <w:jc w:val="both"/>
              <w:rPr>
                <w:rFonts w:eastAsiaTheme="minorHAnsi"/>
                <w:bCs/>
                <w:lang w:eastAsia="en-US"/>
              </w:rPr>
            </w:pPr>
            <w:r w:rsidRPr="00660312">
              <w:rPr>
                <w:rFonts w:eastAsiaTheme="minorHAnsi"/>
                <w:bCs/>
                <w:lang w:eastAsia="en-US"/>
              </w:rPr>
              <w:t>Федеральный закон вступает в силу по истечении 180 дней после дня его официального опубликования. Часть положений вступает в силу с 1 января 2016 года.</w:t>
            </w:r>
          </w:p>
        </w:tc>
        <w:tc>
          <w:tcPr>
            <w:tcW w:w="6700" w:type="dxa"/>
            <w:gridSpan w:val="2"/>
          </w:tcPr>
          <w:p w:rsidR="00660312" w:rsidRPr="00660312" w:rsidRDefault="00660312" w:rsidP="00660312">
            <w:pPr>
              <w:jc w:val="both"/>
              <w:rPr>
                <w:bCs/>
              </w:rPr>
            </w:pPr>
            <w:r w:rsidRPr="00660312">
              <w:rPr>
                <w:bCs/>
              </w:rPr>
              <w:lastRenderedPageBreak/>
              <w:t>Официальный интернет-портал правовой информации http://www.pravo.gov.ru, 01.07.2015,</w:t>
            </w:r>
          </w:p>
          <w:p w:rsidR="00660312" w:rsidRPr="00660312" w:rsidRDefault="00660312" w:rsidP="00660312">
            <w:pPr>
              <w:jc w:val="both"/>
              <w:rPr>
                <w:bCs/>
              </w:rPr>
            </w:pPr>
            <w:r w:rsidRPr="00660312">
              <w:rPr>
                <w:bCs/>
              </w:rPr>
              <w:t>"Собрание законодательства РФ", 06.07.2015, N 27, ст. 4000,</w:t>
            </w:r>
          </w:p>
          <w:p w:rsidR="00660312" w:rsidRPr="00660312" w:rsidRDefault="00660312" w:rsidP="00660312">
            <w:pPr>
              <w:jc w:val="both"/>
              <w:rPr>
                <w:bCs/>
              </w:rPr>
            </w:pPr>
            <w:r w:rsidRPr="00660312">
              <w:rPr>
                <w:bCs/>
              </w:rPr>
              <w:t>"Российская газета", N 147, 08.07.2015</w:t>
            </w:r>
          </w:p>
          <w:p w:rsidR="00660312" w:rsidRPr="00660312" w:rsidRDefault="00660312" w:rsidP="00660312">
            <w:pPr>
              <w:rPr>
                <w:b/>
                <w:bCs/>
              </w:rPr>
            </w:pPr>
            <w:r w:rsidRPr="00660312">
              <w:rPr>
                <w:bCs/>
              </w:rPr>
              <w:t>Начало действия документа - 29.12.2015 (за исключением отдельных положений).</w:t>
            </w:r>
          </w:p>
          <w:p w:rsidR="006E3925" w:rsidRPr="00660312" w:rsidRDefault="006E3925" w:rsidP="00660312"/>
        </w:tc>
      </w:tr>
      <w:tr w:rsidR="00660312" w:rsidTr="00660312">
        <w:tc>
          <w:tcPr>
            <w:tcW w:w="704" w:type="dxa"/>
          </w:tcPr>
          <w:p w:rsidR="00660312" w:rsidRPr="00660312" w:rsidRDefault="00660312" w:rsidP="00660312">
            <w:pPr>
              <w:pStyle w:val="ab"/>
              <w:numPr>
                <w:ilvl w:val="0"/>
                <w:numId w:val="4"/>
              </w:numPr>
              <w:ind w:left="171" w:firstLine="0"/>
              <w:jc w:val="center"/>
              <w:rPr>
                <w:b/>
                <w:bCs/>
              </w:rPr>
            </w:pPr>
          </w:p>
        </w:tc>
        <w:tc>
          <w:tcPr>
            <w:tcW w:w="3045" w:type="dxa"/>
            <w:gridSpan w:val="2"/>
          </w:tcPr>
          <w:p w:rsidR="00D05291" w:rsidRPr="00D05291" w:rsidRDefault="00D05291" w:rsidP="00D05291">
            <w:pPr>
              <w:jc w:val="both"/>
              <w:rPr>
                <w:bCs/>
              </w:rPr>
            </w:pPr>
            <w:r w:rsidRPr="00D05291">
              <w:rPr>
                <w:bCs/>
              </w:rPr>
              <w:t>Проект федерального закона N 833158-6</w:t>
            </w:r>
          </w:p>
          <w:p w:rsidR="00660312" w:rsidRPr="00660312" w:rsidRDefault="00D05291" w:rsidP="00D05291">
            <w:pPr>
              <w:jc w:val="both"/>
              <w:rPr>
                <w:bCs/>
              </w:rPr>
            </w:pPr>
            <w:r w:rsidRPr="00D05291">
              <w:rPr>
                <w:bCs/>
              </w:rPr>
              <w:t>"О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w:t>
            </w:r>
          </w:p>
        </w:tc>
        <w:tc>
          <w:tcPr>
            <w:tcW w:w="4290" w:type="dxa"/>
            <w:gridSpan w:val="3"/>
          </w:tcPr>
          <w:p w:rsidR="00D05291" w:rsidRPr="00461B56" w:rsidRDefault="00D05291" w:rsidP="00D05291">
            <w:pPr>
              <w:autoSpaceDE w:val="0"/>
              <w:autoSpaceDN w:val="0"/>
              <w:adjustRightInd w:val="0"/>
              <w:ind w:firstLine="540"/>
              <w:jc w:val="both"/>
              <w:rPr>
                <w:rFonts w:eastAsiaTheme="minorHAnsi"/>
                <w:b/>
                <w:bCs/>
                <w:lang w:eastAsia="en-US"/>
              </w:rPr>
            </w:pPr>
            <w:r w:rsidRPr="00461B56">
              <w:rPr>
                <w:rFonts w:eastAsiaTheme="minorHAnsi"/>
                <w:b/>
                <w:bCs/>
                <w:lang w:eastAsia="en-US"/>
              </w:rPr>
              <w:t>Предлагается законодательно урегулировать продвижение интересов коммерческих организаций и предпринимателей в государственных и местных органах</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Законопроект, внесенный в Госдуму по депутатской инициативе, предусматривает в том числе:</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 xml:space="preserve">определение понятия "продвижение интересов" - это устное или письменное взаимодействие представителя </w:t>
            </w:r>
            <w:r w:rsidRPr="00D05291">
              <w:rPr>
                <w:rFonts w:eastAsiaTheme="minorHAnsi"/>
                <w:bCs/>
                <w:lang w:eastAsia="en-US"/>
              </w:rPr>
              <w:lastRenderedPageBreak/>
              <w:t>интересов с должностным лицом органа государственной власти или местного самоуправления с целью оказания влияния на разработку и принятие нормативных актов, политических, экономических, административных и иных решений в интересах коммерческой организации или индивидуального предпринимателя, от имени которых действует представитель интересов;</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запрет продвижения интересов в органах судебной власти и случаи, которые не являются продвижением интересов (публикации в печати, выступления в СМИ, предоставление информации по требованию государственного органа или органа местного самоуправления);</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порядок заключения и содержание гражданско-правового договора на продвижение интересов (в том числе размер денежного вознаграждения представителя интересов за продвижение интересов);</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перечень лиц, которые не могут быть представителями интересов (в частности, лица, не достигшие 18 лет, иностранные граждане, лица без гражданства или с двойным гражданством, недееспособные лица и некоторые другие категории лиц);</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права и обязанности представителя интересов;</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lastRenderedPageBreak/>
              <w:t>порядок организации деятельности саморегулируемой организации представителей интересов и ведения единого государственного реестра саморегулируемых организаций представителей интересов;</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перечень должностных лиц, с которыми имеет право взаимодействовать представитель интересов (в том числе Президент РФ, член Совета Федерации, депутат Госдумы, Председатель Правительства РФ).</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Также устанавливается, что государственное регулирование деятельности по продвижению интересов осуществляется федеральным органом исполнительной власти, уполномоченным Правительством РФ.</w:t>
            </w:r>
          </w:p>
          <w:p w:rsidR="00D05291" w:rsidRPr="00D05291" w:rsidRDefault="00D05291" w:rsidP="00D05291">
            <w:pPr>
              <w:autoSpaceDE w:val="0"/>
              <w:autoSpaceDN w:val="0"/>
              <w:adjustRightInd w:val="0"/>
              <w:ind w:firstLine="540"/>
              <w:jc w:val="both"/>
              <w:rPr>
                <w:rFonts w:eastAsiaTheme="minorHAnsi"/>
                <w:bCs/>
                <w:lang w:eastAsia="en-US"/>
              </w:rPr>
            </w:pPr>
            <w:r w:rsidRPr="00D05291">
              <w:rPr>
                <w:rFonts w:eastAsiaTheme="minorHAnsi"/>
                <w:bCs/>
                <w:lang w:eastAsia="en-US"/>
              </w:rPr>
              <w:t>По мнению разработчиков, принятие законопроекта позволит создать "четкие правила игры" в такой сфере общественных отношений, как взаимодействие бизнеса и власти.</w:t>
            </w:r>
          </w:p>
          <w:p w:rsidR="00660312" w:rsidRPr="00660312" w:rsidRDefault="00660312" w:rsidP="00660312">
            <w:pPr>
              <w:autoSpaceDE w:val="0"/>
              <w:autoSpaceDN w:val="0"/>
              <w:adjustRightInd w:val="0"/>
              <w:ind w:firstLine="540"/>
              <w:jc w:val="both"/>
              <w:rPr>
                <w:rFonts w:eastAsiaTheme="minorHAnsi"/>
                <w:bCs/>
                <w:lang w:eastAsia="en-US"/>
              </w:rPr>
            </w:pPr>
          </w:p>
        </w:tc>
        <w:tc>
          <w:tcPr>
            <w:tcW w:w="6700" w:type="dxa"/>
            <w:gridSpan w:val="2"/>
          </w:tcPr>
          <w:p w:rsidR="00660312" w:rsidRPr="00461B56" w:rsidRDefault="00461B56" w:rsidP="00461B56">
            <w:pPr>
              <w:jc w:val="both"/>
              <w:rPr>
                <w:bCs/>
              </w:rPr>
            </w:pPr>
            <w:r w:rsidRPr="00461B56">
              <w:rPr>
                <w:bCs/>
              </w:rPr>
              <w:lastRenderedPageBreak/>
              <w:t>Проект закона</w:t>
            </w:r>
          </w:p>
        </w:tc>
      </w:tr>
      <w:tr w:rsidR="006E3925" w:rsidTr="00660312">
        <w:tc>
          <w:tcPr>
            <w:tcW w:w="704" w:type="dxa"/>
          </w:tcPr>
          <w:p w:rsidR="006E3925" w:rsidRPr="00461B56" w:rsidRDefault="00461B56" w:rsidP="005A483A">
            <w:pPr>
              <w:jc w:val="center"/>
              <w:rPr>
                <w:bCs/>
              </w:rPr>
            </w:pPr>
            <w:r w:rsidRPr="00461B56">
              <w:rPr>
                <w:bCs/>
              </w:rPr>
              <w:lastRenderedPageBreak/>
              <w:t>3.</w:t>
            </w:r>
          </w:p>
        </w:tc>
        <w:tc>
          <w:tcPr>
            <w:tcW w:w="3045" w:type="dxa"/>
            <w:gridSpan w:val="2"/>
          </w:tcPr>
          <w:p w:rsidR="006E3925" w:rsidRPr="00461B56" w:rsidRDefault="00461B56" w:rsidP="00461B56">
            <w:pPr>
              <w:jc w:val="center"/>
              <w:rPr>
                <w:bCs/>
              </w:rPr>
            </w:pPr>
            <w:r w:rsidRPr="00461B56">
              <w:rPr>
                <w:bCs/>
              </w:rPr>
              <w:t>Постановление Прави</w:t>
            </w:r>
            <w:r>
              <w:rPr>
                <w:bCs/>
              </w:rPr>
              <w:t xml:space="preserve">тельства РФ от 30.06.2015 N 657 </w:t>
            </w:r>
            <w:r w:rsidRPr="00461B56">
              <w:rPr>
                <w:bCs/>
              </w:rPr>
              <w:t xml:space="preserve">"О мерах по осуществлению мониторинга использования жилищного фонда и обеспечения его сохранности, изменении и признании утратившими </w:t>
            </w:r>
            <w:r w:rsidRPr="00461B56">
              <w:rPr>
                <w:bCs/>
              </w:rPr>
              <w:lastRenderedPageBreak/>
              <w:t>силу некоторых актов Правительства Российской Федерации"</w:t>
            </w:r>
          </w:p>
        </w:tc>
        <w:tc>
          <w:tcPr>
            <w:tcW w:w="4290" w:type="dxa"/>
            <w:gridSpan w:val="3"/>
          </w:tcPr>
          <w:p w:rsidR="00461B56" w:rsidRPr="00461B56" w:rsidRDefault="00461B56" w:rsidP="00461B56">
            <w:pPr>
              <w:autoSpaceDE w:val="0"/>
              <w:autoSpaceDN w:val="0"/>
              <w:adjustRightInd w:val="0"/>
              <w:ind w:firstLine="540"/>
              <w:jc w:val="both"/>
              <w:rPr>
                <w:rFonts w:eastAsiaTheme="minorHAnsi"/>
                <w:b/>
                <w:bCs/>
                <w:lang w:eastAsia="en-US"/>
              </w:rPr>
            </w:pPr>
            <w:r w:rsidRPr="00461B56">
              <w:rPr>
                <w:rFonts w:eastAsiaTheme="minorHAnsi"/>
                <w:b/>
                <w:bCs/>
                <w:lang w:eastAsia="en-US"/>
              </w:rPr>
              <w:lastRenderedPageBreak/>
              <w:t>Уточнены срок и порядок представления органами местного самоуправления информации о МКД и жилых домах уполномоченным органам субъектов РФ</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 xml:space="preserve">Установлено, что в целях осуществления мониторинга использования жилищного фонда и обеспечения </w:t>
            </w:r>
            <w:r w:rsidRPr="00461B56">
              <w:rPr>
                <w:rFonts w:eastAsiaTheme="minorHAnsi"/>
                <w:bCs/>
                <w:lang w:eastAsia="en-US"/>
              </w:rPr>
              <w:lastRenderedPageBreak/>
              <w:t>его сохранности органы местного самоуправления ежегодно, до 1 апреля года, следующего за отчетным, представляют в уполномоченный орган государственной власти субъекта РФ сведения о многоквартирных домах или жилых домах в соответствии с перечнем показателей, утвержденным Минстроем России.</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Ранее предоставлялась информация, содержащаяся в электронных паспортах МКД, электронных паспортах жилых домов, ведение которых предусматривалось Правилами, утвержденными Постановлением Правительства РФ от 28.12.2012 N 1468, в срок до 1 февраля года, следующего за отчетным.</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Кроме того, уточнены сроки представления:</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органом государственного жилищного надзора в соответствии с указанным перечнем информации, полученной им в результате осуществления государственного жилищного надзора и лицензионного контроля, а также в результате взаимодействия с органами муниципального жилищного контроля, в уполномоченный орган субъекта РФ;</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органом субъекта РФ в федеральный орган исполнительной власти, уполномоченный Правительством РФ на осуществление мониторинга, резуль</w:t>
            </w:r>
            <w:r w:rsidRPr="00461B56">
              <w:rPr>
                <w:rFonts w:eastAsiaTheme="minorHAnsi"/>
                <w:bCs/>
                <w:lang w:eastAsia="en-US"/>
              </w:rPr>
              <w:lastRenderedPageBreak/>
              <w:t>татов обобщения и систематизации информации в порядке и по форме, утвержденных Минстроем России.</w:t>
            </w:r>
          </w:p>
          <w:p w:rsidR="00461B56"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Органам местного самоуправления рекомендовано до 1 июля 2016 года, но не позднее ввода в эксплуатацию ГИС ЖКХ (в случаях заключения соглашений об опытной эксплуатации этой системы на территории субъектов РФ - не позднее 4 месяцев после дня вступления в силу таких соглашений), запрашивать у организаций, осуществляющих поставки ресурсов для предоставления коммунальных услуг, а также у лиц, оказывающих услуги, выполняющих работы по содержанию и ремонту общего имущества собственников в МКД и предоставляющих коммунальные услуги, сведения, с учетом которых осуществляется мониторинг в соответствии с перечнем показателей.</w:t>
            </w:r>
          </w:p>
          <w:p w:rsidR="006E3925" w:rsidRPr="00461B56" w:rsidRDefault="00461B56" w:rsidP="00461B56">
            <w:pPr>
              <w:autoSpaceDE w:val="0"/>
              <w:autoSpaceDN w:val="0"/>
              <w:adjustRightInd w:val="0"/>
              <w:ind w:firstLine="540"/>
              <w:jc w:val="both"/>
              <w:rPr>
                <w:rFonts w:eastAsiaTheme="minorHAnsi"/>
                <w:bCs/>
                <w:lang w:eastAsia="en-US"/>
              </w:rPr>
            </w:pPr>
            <w:r w:rsidRPr="00461B56">
              <w:rPr>
                <w:rFonts w:eastAsiaTheme="minorHAnsi"/>
                <w:bCs/>
                <w:lang w:eastAsia="en-US"/>
              </w:rPr>
              <w:t>Постановление Правительства РФ от 28.12.2012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w:t>
            </w:r>
            <w:r w:rsidRPr="00461B56">
              <w:rPr>
                <w:rFonts w:eastAsiaTheme="minorHAnsi"/>
                <w:bCs/>
                <w:lang w:eastAsia="en-US"/>
              </w:rPr>
              <w:lastRenderedPageBreak/>
              <w:t>щего имущества собственников помещений в многоквартирных домах" признано утратившим силу.</w:t>
            </w:r>
          </w:p>
        </w:tc>
        <w:tc>
          <w:tcPr>
            <w:tcW w:w="6700" w:type="dxa"/>
            <w:gridSpan w:val="2"/>
          </w:tcPr>
          <w:p w:rsidR="00461B56" w:rsidRPr="00461B56" w:rsidRDefault="00461B56" w:rsidP="00461B56">
            <w:pPr>
              <w:jc w:val="both"/>
              <w:rPr>
                <w:bCs/>
              </w:rPr>
            </w:pPr>
            <w:r w:rsidRPr="00461B56">
              <w:rPr>
                <w:bCs/>
              </w:rPr>
              <w:lastRenderedPageBreak/>
              <w:t>Официальный интернет-портал правовой информации http://www.pravo.gov.ru, 06.07.2015,</w:t>
            </w:r>
          </w:p>
          <w:p w:rsidR="00461B56" w:rsidRPr="00461B56" w:rsidRDefault="00461B56" w:rsidP="00461B56">
            <w:pPr>
              <w:jc w:val="both"/>
              <w:rPr>
                <w:bCs/>
              </w:rPr>
            </w:pPr>
            <w:r w:rsidRPr="00461B56">
              <w:rPr>
                <w:bCs/>
              </w:rPr>
              <w:t>"Собрание законодательства РФ", 13.07.2015, N 28, ст. 4227</w:t>
            </w:r>
          </w:p>
          <w:p w:rsidR="00461B56" w:rsidRPr="00461B56" w:rsidRDefault="00461B56" w:rsidP="00461B56">
            <w:pPr>
              <w:jc w:val="both"/>
              <w:rPr>
                <w:bCs/>
              </w:rPr>
            </w:pPr>
          </w:p>
          <w:p w:rsidR="00461B56" w:rsidRPr="00461B56" w:rsidRDefault="00461B56" w:rsidP="00461B56">
            <w:pPr>
              <w:jc w:val="both"/>
              <w:rPr>
                <w:b/>
                <w:bCs/>
              </w:rPr>
            </w:pPr>
            <w:r w:rsidRPr="00461B56">
              <w:rPr>
                <w:bCs/>
              </w:rPr>
              <w:t>Начало действия документа - 14.07.2015.</w:t>
            </w:r>
          </w:p>
          <w:p w:rsidR="006E3925" w:rsidRPr="005B7836" w:rsidRDefault="006E3925" w:rsidP="00461B56">
            <w:pPr>
              <w:jc w:val="both"/>
              <w:rPr>
                <w:b/>
                <w:bCs/>
              </w:rPr>
            </w:pPr>
          </w:p>
        </w:tc>
      </w:tr>
      <w:tr w:rsidR="00461B56" w:rsidTr="00660312">
        <w:tc>
          <w:tcPr>
            <w:tcW w:w="704" w:type="dxa"/>
          </w:tcPr>
          <w:p w:rsidR="00461B56" w:rsidRPr="00DE4D17" w:rsidRDefault="00DE4D17" w:rsidP="00DE4D17">
            <w:pPr>
              <w:rPr>
                <w:bCs/>
              </w:rPr>
            </w:pPr>
            <w:r w:rsidRPr="00DE4D17">
              <w:rPr>
                <w:bCs/>
              </w:rPr>
              <w:lastRenderedPageBreak/>
              <w:t xml:space="preserve">  </w:t>
            </w:r>
            <w:r w:rsidR="00461B56" w:rsidRPr="00DE4D17">
              <w:rPr>
                <w:bCs/>
              </w:rPr>
              <w:t>4.</w:t>
            </w:r>
          </w:p>
        </w:tc>
        <w:tc>
          <w:tcPr>
            <w:tcW w:w="3045" w:type="dxa"/>
            <w:gridSpan w:val="2"/>
          </w:tcPr>
          <w:p w:rsidR="00461B56" w:rsidRPr="00461B56" w:rsidRDefault="00F73D3B" w:rsidP="00F73D3B">
            <w:pPr>
              <w:jc w:val="both"/>
              <w:rPr>
                <w:bCs/>
              </w:rPr>
            </w:pPr>
            <w:r w:rsidRPr="00F73D3B">
              <w:rPr>
                <w:bCs/>
              </w:rPr>
              <w:t>Постановление Прави</w:t>
            </w:r>
            <w:r>
              <w:rPr>
                <w:bCs/>
              </w:rPr>
              <w:t xml:space="preserve">тельства РФ от 02.07.2015 N 670 </w:t>
            </w:r>
            <w:r w:rsidRPr="00F73D3B">
              <w:rPr>
                <w:bCs/>
              </w:rPr>
              <w:t>"О внесении изменений в постановление Правительства Российской Федерации от 26 февраля 2014 г. N 151"</w:t>
            </w:r>
          </w:p>
        </w:tc>
        <w:tc>
          <w:tcPr>
            <w:tcW w:w="4290" w:type="dxa"/>
            <w:gridSpan w:val="3"/>
          </w:tcPr>
          <w:p w:rsidR="00F73D3B" w:rsidRPr="00F73D3B" w:rsidRDefault="00F73D3B" w:rsidP="00F73D3B">
            <w:pPr>
              <w:autoSpaceDE w:val="0"/>
              <w:autoSpaceDN w:val="0"/>
              <w:adjustRightInd w:val="0"/>
              <w:ind w:firstLine="540"/>
              <w:jc w:val="both"/>
              <w:rPr>
                <w:rFonts w:eastAsiaTheme="minorHAnsi"/>
                <w:lang w:eastAsia="en-US"/>
              </w:rPr>
            </w:pPr>
            <w:r w:rsidRPr="00F73D3B">
              <w:rPr>
                <w:rFonts w:eastAsiaTheme="minorHAnsi"/>
                <w:b/>
                <w:bCs/>
                <w:lang w:eastAsia="en-US"/>
              </w:rPr>
              <w:t>Уточнен порядок размещения в сети Интернет базовых (отраслевых) и ведомственных перечней государственных (муниципальных) услуг и работ</w:t>
            </w:r>
          </w:p>
          <w:p w:rsidR="00F73D3B" w:rsidRPr="00F73D3B" w:rsidRDefault="00F73D3B" w:rsidP="00F73D3B">
            <w:pPr>
              <w:autoSpaceDE w:val="0"/>
              <w:autoSpaceDN w:val="0"/>
              <w:adjustRightInd w:val="0"/>
              <w:ind w:firstLine="540"/>
              <w:jc w:val="both"/>
              <w:rPr>
                <w:rFonts w:eastAsiaTheme="minorHAnsi"/>
                <w:lang w:eastAsia="en-US"/>
              </w:rPr>
            </w:pPr>
            <w:r w:rsidRPr="00F73D3B">
              <w:rPr>
                <w:rFonts w:eastAsiaTheme="minorHAnsi"/>
                <w:lang w:eastAsia="en-US"/>
              </w:rPr>
              <w:t>Установлено, что базовые (отраслевые) перечни и ведомственные перечни государственных (муниципальных) услуг и работ, сформированные в соответствии с Правилами, утвержденными Постановлением Правительства РФ от 26.02.2014 N 151, размещаются на официальном сайте по размещению информации о государственных и муниципальных учреждениях (www.bus.gov.ru) и на едином портале бюджетной системы РФ (www.budget.gov.ru) в сети Интернет в порядке, установленном Минфином России.</w:t>
            </w:r>
          </w:p>
          <w:p w:rsidR="00F73D3B" w:rsidRPr="00F73D3B" w:rsidRDefault="00F73D3B" w:rsidP="00F73D3B">
            <w:pPr>
              <w:autoSpaceDE w:val="0"/>
              <w:autoSpaceDN w:val="0"/>
              <w:adjustRightInd w:val="0"/>
              <w:ind w:firstLine="540"/>
              <w:jc w:val="both"/>
              <w:rPr>
                <w:rFonts w:eastAsiaTheme="minorHAnsi"/>
                <w:lang w:eastAsia="en-US"/>
              </w:rPr>
            </w:pPr>
            <w:r w:rsidRPr="00F73D3B">
              <w:rPr>
                <w:rFonts w:eastAsiaTheme="minorHAnsi"/>
                <w:lang w:eastAsia="en-US"/>
              </w:rPr>
              <w:t>Кроме того, уточнены положения, касающиеся показателей, характеризующих качество оказываемых услуг и выполняемых работ</w:t>
            </w: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F73D3B" w:rsidRPr="00F73D3B" w:rsidRDefault="00F73D3B" w:rsidP="00F73D3B">
            <w:pPr>
              <w:jc w:val="both"/>
              <w:rPr>
                <w:bCs/>
              </w:rPr>
            </w:pPr>
            <w:r w:rsidRPr="00F73D3B">
              <w:rPr>
                <w:bCs/>
              </w:rPr>
              <w:t>Официальный интернет-портал правовой информации http://www.pravo.gov.ru, 10.07.2015,</w:t>
            </w:r>
          </w:p>
          <w:p w:rsidR="00F73D3B" w:rsidRPr="00F73D3B" w:rsidRDefault="00F73D3B" w:rsidP="00F73D3B">
            <w:pPr>
              <w:jc w:val="both"/>
              <w:rPr>
                <w:bCs/>
              </w:rPr>
            </w:pPr>
            <w:r w:rsidRPr="00F73D3B">
              <w:rPr>
                <w:bCs/>
              </w:rPr>
              <w:t>"Собрание законодательства РФ", 13.07.2015, N 28, ст. 4237</w:t>
            </w:r>
          </w:p>
          <w:p w:rsidR="00F73D3B" w:rsidRPr="00F73D3B" w:rsidRDefault="00F73D3B" w:rsidP="00F73D3B">
            <w:pPr>
              <w:jc w:val="both"/>
              <w:rPr>
                <w:bCs/>
              </w:rPr>
            </w:pPr>
            <w:r w:rsidRPr="00F73D3B">
              <w:rPr>
                <w:bCs/>
              </w:rPr>
              <w:t>Начало действия документа - 18.07.2015.</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t xml:space="preserve">5. </w:t>
            </w:r>
          </w:p>
        </w:tc>
        <w:tc>
          <w:tcPr>
            <w:tcW w:w="3045" w:type="dxa"/>
            <w:gridSpan w:val="2"/>
          </w:tcPr>
          <w:p w:rsidR="0041106B" w:rsidRPr="0041106B" w:rsidRDefault="0041106B" w:rsidP="0041106B">
            <w:pPr>
              <w:jc w:val="both"/>
              <w:rPr>
                <w:bCs/>
              </w:rPr>
            </w:pPr>
            <w:r w:rsidRPr="0041106B">
              <w:rPr>
                <w:bCs/>
              </w:rPr>
              <w:t>Федеральный закон от 13.07.2015 N 218-ФЗ</w:t>
            </w:r>
          </w:p>
          <w:p w:rsidR="00461B56" w:rsidRPr="00461B56" w:rsidRDefault="0041106B" w:rsidP="0041106B">
            <w:pPr>
              <w:jc w:val="both"/>
              <w:rPr>
                <w:bCs/>
              </w:rPr>
            </w:pPr>
            <w:r w:rsidRPr="0041106B">
              <w:rPr>
                <w:bCs/>
              </w:rPr>
              <w:t>"О государственной регистрации недвижимости"</w:t>
            </w:r>
          </w:p>
        </w:tc>
        <w:tc>
          <w:tcPr>
            <w:tcW w:w="4290" w:type="dxa"/>
            <w:gridSpan w:val="3"/>
          </w:tcPr>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b/>
                <w:bCs/>
                <w:lang w:eastAsia="en-US"/>
              </w:rPr>
              <w:t>Создается единая федеральная система государственной регистрации прав на недвижимость и государственного кадастрового учета недвижимости</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lastRenderedPageBreak/>
              <w:t>Определены, в частности:</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состав и правила ведения ЕГРН;</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требования к документам, представляемым для осуществления государственного кадастрового учета и (или) государственной регистрации прав, к межевому плану, акту обследования, техническому плану;</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порядок и особенности осуществления, а также основания отказа в осуществлении государственного кадастрового учета или государственной регистрации прав;</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порядок предоставления сведений, содержащихся в ЕГРН;</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права и обязанности государственного регистратора прав;</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особенности подготовки тех. плана здания, сооружения, помещения, объекта незавершенного строительства;</w:t>
            </w:r>
          </w:p>
          <w:p w:rsidR="0041106B" w:rsidRPr="0041106B" w:rsidRDefault="0041106B" w:rsidP="0041106B">
            <w:pPr>
              <w:autoSpaceDE w:val="0"/>
              <w:autoSpaceDN w:val="0"/>
              <w:adjustRightInd w:val="0"/>
              <w:ind w:firstLine="540"/>
              <w:jc w:val="both"/>
              <w:rPr>
                <w:rFonts w:eastAsiaTheme="minorHAnsi"/>
                <w:lang w:eastAsia="en-US"/>
              </w:rPr>
            </w:pPr>
            <w:r w:rsidRPr="0041106B">
              <w:rPr>
                <w:rFonts w:eastAsiaTheme="minorHAnsi"/>
                <w:lang w:eastAsia="en-US"/>
              </w:rPr>
              <w:t>- ответственность при осуществлении государственного кадастрового учета недвижимого имущества и государственной регистрации прав на недвижимое имущество, ведении ЕГРН, предоставлении из него сведений.</w:t>
            </w: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41106B" w:rsidRPr="0041106B" w:rsidRDefault="0041106B" w:rsidP="0041106B">
            <w:pPr>
              <w:jc w:val="both"/>
              <w:rPr>
                <w:bCs/>
              </w:rPr>
            </w:pPr>
            <w:r w:rsidRPr="0041106B">
              <w:rPr>
                <w:bCs/>
              </w:rPr>
              <w:lastRenderedPageBreak/>
              <w:t>Официальный интернет-портал правовой информации http://www.pravo.gov.ru, 14.07.2015,</w:t>
            </w:r>
          </w:p>
          <w:p w:rsidR="0041106B" w:rsidRPr="0041106B" w:rsidRDefault="0041106B" w:rsidP="0041106B">
            <w:pPr>
              <w:jc w:val="both"/>
              <w:rPr>
                <w:bCs/>
              </w:rPr>
            </w:pPr>
            <w:r w:rsidRPr="0041106B">
              <w:rPr>
                <w:bCs/>
              </w:rPr>
              <w:t>"Российская газета", N 156, 17.07.2015,</w:t>
            </w:r>
          </w:p>
          <w:p w:rsidR="0041106B" w:rsidRPr="0041106B" w:rsidRDefault="0041106B" w:rsidP="0041106B">
            <w:pPr>
              <w:jc w:val="both"/>
              <w:rPr>
                <w:bCs/>
              </w:rPr>
            </w:pPr>
            <w:r w:rsidRPr="0041106B">
              <w:rPr>
                <w:bCs/>
              </w:rPr>
              <w:t>"Собрание законодательства РФ", 20.07.2015, N 29 (часть I), ст. 4344</w:t>
            </w:r>
          </w:p>
          <w:p w:rsidR="0041106B" w:rsidRPr="0041106B" w:rsidRDefault="0041106B" w:rsidP="0041106B">
            <w:pPr>
              <w:jc w:val="both"/>
              <w:rPr>
                <w:bCs/>
              </w:rPr>
            </w:pPr>
            <w:r w:rsidRPr="0041106B">
              <w:rPr>
                <w:bCs/>
              </w:rPr>
              <w:lastRenderedPageBreak/>
              <w:t>Начало действия документа - 01.01.2017 (за исключением отдельных положений).</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6.</w:t>
            </w:r>
          </w:p>
        </w:tc>
        <w:tc>
          <w:tcPr>
            <w:tcW w:w="3045" w:type="dxa"/>
            <w:gridSpan w:val="2"/>
          </w:tcPr>
          <w:p w:rsidR="0041106B" w:rsidRPr="0041106B" w:rsidRDefault="0041106B" w:rsidP="00824781">
            <w:pPr>
              <w:jc w:val="both"/>
              <w:rPr>
                <w:bCs/>
              </w:rPr>
            </w:pPr>
            <w:r w:rsidRPr="0041106B">
              <w:rPr>
                <w:bCs/>
              </w:rPr>
              <w:t xml:space="preserve">Федеральный </w:t>
            </w:r>
            <w:r w:rsidRPr="00824781">
              <w:rPr>
                <w:bCs/>
              </w:rPr>
              <w:t>закон</w:t>
            </w:r>
            <w:r w:rsidRPr="0041106B">
              <w:rPr>
                <w:bCs/>
              </w:rPr>
              <w:t xml:space="preserve"> от 13.07.2015 N 246-ФЗ</w:t>
            </w:r>
          </w:p>
          <w:p w:rsidR="0041106B" w:rsidRPr="0041106B" w:rsidRDefault="0041106B" w:rsidP="00824781">
            <w:pPr>
              <w:jc w:val="both"/>
              <w:rPr>
                <w:bCs/>
              </w:rPr>
            </w:pPr>
            <w:r w:rsidRPr="0041106B">
              <w:rPr>
                <w:bCs/>
              </w:rPr>
              <w:t xml:space="preserve">"О внесении изменений в Федеральный закон "О защите прав юридических лиц и индивидуальных </w:t>
            </w:r>
            <w:r w:rsidRPr="0041106B">
              <w:rPr>
                <w:bCs/>
              </w:rPr>
              <w:lastRenderedPageBreak/>
              <w:t>предпринимателей при осуществлении государственного контроля (надзора) и муниципального контроля"</w:t>
            </w:r>
          </w:p>
          <w:p w:rsidR="00461B56" w:rsidRPr="00461B56" w:rsidRDefault="00461B56" w:rsidP="00461B56">
            <w:pPr>
              <w:jc w:val="center"/>
              <w:rPr>
                <w:bCs/>
              </w:rPr>
            </w:pPr>
          </w:p>
        </w:tc>
        <w:tc>
          <w:tcPr>
            <w:tcW w:w="4290" w:type="dxa"/>
            <w:gridSpan w:val="3"/>
          </w:tcPr>
          <w:p w:rsidR="00824781" w:rsidRPr="00824781" w:rsidRDefault="00824781" w:rsidP="00824781">
            <w:pPr>
              <w:autoSpaceDE w:val="0"/>
              <w:autoSpaceDN w:val="0"/>
              <w:adjustRightInd w:val="0"/>
              <w:ind w:firstLine="540"/>
              <w:jc w:val="both"/>
              <w:rPr>
                <w:rFonts w:eastAsiaTheme="minorHAnsi"/>
                <w:b/>
                <w:bCs/>
                <w:lang w:eastAsia="en-US"/>
              </w:rPr>
            </w:pPr>
            <w:r w:rsidRPr="00824781">
              <w:rPr>
                <w:rFonts w:eastAsiaTheme="minorHAnsi"/>
                <w:b/>
                <w:bCs/>
                <w:lang w:eastAsia="en-US"/>
              </w:rPr>
              <w:lastRenderedPageBreak/>
              <w:t>Принят закон, направленный на снижение административного давления на малый бизнес</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С 1 января 2016 года по 31 декабря 2018 года вводится ограничение на про</w:t>
            </w:r>
            <w:r w:rsidRPr="00824781">
              <w:rPr>
                <w:rFonts w:eastAsiaTheme="minorHAnsi"/>
                <w:bCs/>
                <w:lang w:eastAsia="en-US"/>
              </w:rPr>
              <w:lastRenderedPageBreak/>
              <w:t>ведение плановых проверок в отношении субъектов малого предпринимательства.</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В числе исключений - лица, осуществляющие виды деятельности, перечень которых устанавливается Правительством РФ (рисковые виды деятельности).</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 xml:space="preserve">Кроме того, под действие моратория не подпадут ЮЛ и ИП, </w:t>
            </w:r>
            <w:proofErr w:type="spellStart"/>
            <w:r w:rsidRPr="00824781">
              <w:rPr>
                <w:rFonts w:eastAsiaTheme="minorHAnsi"/>
                <w:bCs/>
                <w:lang w:eastAsia="en-US"/>
              </w:rPr>
              <w:t>привлекавшиеся</w:t>
            </w:r>
            <w:proofErr w:type="spellEnd"/>
            <w:r w:rsidRPr="00824781">
              <w:rPr>
                <w:rFonts w:eastAsiaTheme="minorHAnsi"/>
                <w:bCs/>
                <w:lang w:eastAsia="en-US"/>
              </w:rPr>
              <w:t>, в частности к административной ответственности за грубые правонарушения, или лишенные лицензии на осуществление деятельности и с даты окончания проведения проверки, по результатам которой было вынесено такое постановление (решение), прошло менее трех лет.</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Вводится понятие риск-ориентированного подхода организации и осуществления государственного контроля (надзора).</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Данный метод предусматривает выбор интенсивности (формы, продолжительности, периодичности) проведения мероприятий по контролю отнесением деятельности ЮЛ, ИП и (или) используемых ими производственных объектов к определенной категории риска либо определенному классу (категории) опасности.</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lastRenderedPageBreak/>
              <w:t>Критерии отнесения деятельности и производственных объектов к определенной категории риска либо определенному классу (категории) опасности определяются Правительством РФ, если такие критерии не установлены федеральным законом.</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ЮЛ и ИП предоставляется право подать заявление об исключении их из ежегодного плана проведения плановых проверок.</w:t>
            </w: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824781" w:rsidRPr="00824781" w:rsidRDefault="00824781" w:rsidP="00824781">
            <w:pPr>
              <w:jc w:val="both"/>
              <w:rPr>
                <w:bCs/>
              </w:rPr>
            </w:pPr>
            <w:r w:rsidRPr="00824781">
              <w:rPr>
                <w:bCs/>
              </w:rPr>
              <w:lastRenderedPageBreak/>
              <w:t>Официальный интернет-портал правовой информации http://www.pravo.gov.ru, 14.07.2015,</w:t>
            </w:r>
          </w:p>
          <w:p w:rsidR="00824781" w:rsidRPr="00824781" w:rsidRDefault="00824781" w:rsidP="00824781">
            <w:pPr>
              <w:jc w:val="both"/>
              <w:rPr>
                <w:bCs/>
              </w:rPr>
            </w:pPr>
            <w:r w:rsidRPr="00824781">
              <w:rPr>
                <w:bCs/>
              </w:rPr>
              <w:t>"Российская газета", N 156, 17.07.2015,</w:t>
            </w:r>
          </w:p>
          <w:p w:rsidR="00824781" w:rsidRPr="00824781" w:rsidRDefault="00824781" w:rsidP="00824781">
            <w:pPr>
              <w:jc w:val="both"/>
              <w:rPr>
                <w:bCs/>
              </w:rPr>
            </w:pPr>
            <w:r w:rsidRPr="00824781">
              <w:rPr>
                <w:bCs/>
              </w:rPr>
              <w:t>"Собрание законодательства РФ", 20.07.2015, N 29 (часть I), ст. 4372</w:t>
            </w:r>
          </w:p>
          <w:p w:rsidR="00824781" w:rsidRPr="00824781" w:rsidRDefault="00824781" w:rsidP="00824781">
            <w:pPr>
              <w:jc w:val="both"/>
              <w:rPr>
                <w:bCs/>
              </w:rPr>
            </w:pPr>
            <w:r w:rsidRPr="00824781">
              <w:rPr>
                <w:bCs/>
              </w:rPr>
              <w:t>Начало действия документа - 14.07.2015.</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7.</w:t>
            </w:r>
          </w:p>
        </w:tc>
        <w:tc>
          <w:tcPr>
            <w:tcW w:w="3045" w:type="dxa"/>
            <w:gridSpan w:val="2"/>
          </w:tcPr>
          <w:p w:rsidR="00824781" w:rsidRPr="00824781" w:rsidRDefault="00824781" w:rsidP="00824781">
            <w:pPr>
              <w:jc w:val="both"/>
              <w:rPr>
                <w:bCs/>
              </w:rPr>
            </w:pPr>
            <w:r w:rsidRPr="00824781">
              <w:rPr>
                <w:bCs/>
              </w:rPr>
              <w:t>Федеральный закон от 13.07.2015 N 252-ФЗ</w:t>
            </w:r>
          </w:p>
          <w:p w:rsidR="00824781" w:rsidRPr="00824781" w:rsidRDefault="00824781" w:rsidP="00824781">
            <w:pPr>
              <w:jc w:val="both"/>
              <w:rPr>
                <w:bCs/>
              </w:rPr>
            </w:pPr>
            <w:r w:rsidRPr="00824781">
              <w:rPr>
                <w:bCs/>
              </w:rPr>
              <w:t>"О внесении изменений в Земельный кодекс Российской Федерации и отдельные законодательные акты Российской Федерации"</w:t>
            </w:r>
          </w:p>
          <w:p w:rsidR="00461B56" w:rsidRPr="00461B56" w:rsidRDefault="00461B56" w:rsidP="00824781">
            <w:pPr>
              <w:jc w:val="both"/>
              <w:rPr>
                <w:bCs/>
              </w:rPr>
            </w:pPr>
          </w:p>
        </w:tc>
        <w:tc>
          <w:tcPr>
            <w:tcW w:w="4290" w:type="dxa"/>
            <w:gridSpan w:val="3"/>
          </w:tcPr>
          <w:p w:rsidR="00824781" w:rsidRPr="00824781" w:rsidRDefault="00824781" w:rsidP="00824781">
            <w:pPr>
              <w:autoSpaceDE w:val="0"/>
              <w:autoSpaceDN w:val="0"/>
              <w:adjustRightInd w:val="0"/>
              <w:ind w:firstLine="540"/>
              <w:jc w:val="both"/>
              <w:rPr>
                <w:rFonts w:eastAsiaTheme="minorHAnsi"/>
                <w:b/>
                <w:bCs/>
                <w:lang w:eastAsia="en-US"/>
              </w:rPr>
            </w:pPr>
            <w:r w:rsidRPr="00824781">
              <w:rPr>
                <w:rFonts w:eastAsiaTheme="minorHAnsi"/>
                <w:b/>
                <w:bCs/>
                <w:lang w:eastAsia="en-US"/>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Также установлено, что обязательным приложением к решению об установлении зоны с особыми условиями использования территории являются сведения о границах такой зоны, содержащие текстовое и графическое описания местоположения ее границ и перечень координат их характерных точек в установленной системе координат.</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 xml:space="preserve">Требования к системе координат, точности определения координат характерных точек, формату электронного документа, содержащего указанные сведения, устанавливаются </w:t>
            </w:r>
            <w:proofErr w:type="spellStart"/>
            <w:r w:rsidRPr="00824781">
              <w:rPr>
                <w:rFonts w:eastAsiaTheme="minorHAnsi"/>
                <w:bCs/>
                <w:lang w:eastAsia="en-US"/>
              </w:rPr>
              <w:t>Росреестром</w:t>
            </w:r>
            <w:proofErr w:type="spellEnd"/>
            <w:r w:rsidRPr="00824781">
              <w:rPr>
                <w:rFonts w:eastAsiaTheme="minorHAnsi"/>
                <w:bCs/>
                <w:lang w:eastAsia="en-US"/>
              </w:rPr>
              <w:t>.</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lastRenderedPageBreak/>
              <w:t>Подготовка описаний местоположения границ этих зон обеспечивается правообладателями объектов, для эксплуатации которых они установлены, или иными лицами на основании договора с такими правообладателями.</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Правообладатели должны быть уведомлены об ограничениях использования земельных участков в границах такой зоны в течение 15 дней с даты внесения в государственный кадастр недвижимости сведений об установлении такой зоны.</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t>Кроме того, установлено, что с 1 января 2018 года для принятия решения о выдаче разрешения на ввод объекта в эксплуатацию требуются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
          <w:p w:rsidR="00824781" w:rsidRPr="00824781" w:rsidRDefault="00824781" w:rsidP="00824781">
            <w:pPr>
              <w:autoSpaceDE w:val="0"/>
              <w:autoSpaceDN w:val="0"/>
              <w:adjustRightInd w:val="0"/>
              <w:ind w:firstLine="540"/>
              <w:jc w:val="both"/>
              <w:rPr>
                <w:rFonts w:eastAsiaTheme="minorHAnsi"/>
                <w:bCs/>
                <w:lang w:eastAsia="en-US"/>
              </w:rPr>
            </w:pPr>
            <w:r w:rsidRPr="00824781">
              <w:rPr>
                <w:rFonts w:eastAsiaTheme="minorHAnsi"/>
                <w:bCs/>
                <w:lang w:eastAsia="en-US"/>
              </w:rPr>
              <w:lastRenderedPageBreak/>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w:t>
            </w: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824781" w:rsidRPr="00824781" w:rsidRDefault="00824781" w:rsidP="00824781">
            <w:pPr>
              <w:jc w:val="both"/>
              <w:rPr>
                <w:bCs/>
              </w:rPr>
            </w:pPr>
            <w:r w:rsidRPr="00824781">
              <w:rPr>
                <w:bCs/>
              </w:rPr>
              <w:lastRenderedPageBreak/>
              <w:t>Официальный интернет-портал правовой информации http://www.pravo.gov.ru, 13.07.2015,</w:t>
            </w:r>
          </w:p>
          <w:p w:rsidR="00824781" w:rsidRPr="00824781" w:rsidRDefault="00824781" w:rsidP="00824781">
            <w:pPr>
              <w:jc w:val="both"/>
              <w:rPr>
                <w:bCs/>
              </w:rPr>
            </w:pPr>
            <w:r w:rsidRPr="00824781">
              <w:rPr>
                <w:bCs/>
              </w:rPr>
              <w:t>"Российская газета", N 156, 17.07.2015,</w:t>
            </w:r>
          </w:p>
          <w:p w:rsidR="00824781" w:rsidRPr="00824781" w:rsidRDefault="00824781" w:rsidP="00824781">
            <w:pPr>
              <w:jc w:val="both"/>
              <w:rPr>
                <w:bCs/>
              </w:rPr>
            </w:pPr>
            <w:r w:rsidRPr="00824781">
              <w:rPr>
                <w:bCs/>
              </w:rPr>
              <w:t>"Собрание законодательства РФ", 20.07.2015, N 29 (часть I), ст. 4378</w:t>
            </w:r>
          </w:p>
          <w:p w:rsidR="00824781" w:rsidRPr="00824781" w:rsidRDefault="00824781" w:rsidP="00824781">
            <w:pPr>
              <w:jc w:val="both"/>
              <w:rPr>
                <w:bCs/>
              </w:rPr>
            </w:pPr>
            <w:r w:rsidRPr="00824781">
              <w:rPr>
                <w:bCs/>
              </w:rPr>
              <w:t>Начало действия документа - 13.07.2015 (за исключением отдельных положений).</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8.</w:t>
            </w:r>
          </w:p>
        </w:tc>
        <w:tc>
          <w:tcPr>
            <w:tcW w:w="3045" w:type="dxa"/>
            <w:gridSpan w:val="2"/>
          </w:tcPr>
          <w:p w:rsidR="00665672" w:rsidRPr="00665672" w:rsidRDefault="00665672" w:rsidP="00665672">
            <w:pPr>
              <w:jc w:val="both"/>
              <w:rPr>
                <w:bCs/>
              </w:rPr>
            </w:pPr>
            <w:r w:rsidRPr="00665672">
              <w:rPr>
                <w:bCs/>
              </w:rPr>
              <w:t>Федеральный закон от 13.07.2015 N 258-ФЗ</w:t>
            </w:r>
          </w:p>
          <w:p w:rsidR="00665672" w:rsidRPr="00665672" w:rsidRDefault="00665672" w:rsidP="00665672">
            <w:pPr>
              <w:jc w:val="both"/>
              <w:rPr>
                <w:bCs/>
              </w:rPr>
            </w:pPr>
            <w:r w:rsidRPr="00665672">
              <w:rPr>
                <w:bCs/>
              </w:rPr>
              <w:t>"О внесении изменений в статью 222 части первой Гражданского кодекса Российской Федерации и Федеральный закон "О введении в действие части первой Гражданского кодекса Российской Федерации"</w:t>
            </w:r>
          </w:p>
          <w:p w:rsidR="00461B56" w:rsidRPr="00461B56" w:rsidRDefault="00461B56" w:rsidP="00461B56">
            <w:pPr>
              <w:jc w:val="center"/>
              <w:rPr>
                <w:bCs/>
              </w:rPr>
            </w:pPr>
          </w:p>
        </w:tc>
        <w:tc>
          <w:tcPr>
            <w:tcW w:w="4290" w:type="dxa"/>
            <w:gridSpan w:val="3"/>
          </w:tcPr>
          <w:p w:rsidR="00665672" w:rsidRPr="00665672" w:rsidRDefault="00665672" w:rsidP="00665672">
            <w:pPr>
              <w:autoSpaceDE w:val="0"/>
              <w:autoSpaceDN w:val="0"/>
              <w:adjustRightInd w:val="0"/>
              <w:ind w:firstLine="540"/>
              <w:jc w:val="both"/>
              <w:rPr>
                <w:rFonts w:eastAsiaTheme="minorHAnsi"/>
                <w:b/>
                <w:bCs/>
                <w:lang w:eastAsia="en-US"/>
              </w:rPr>
            </w:pPr>
            <w:r w:rsidRPr="00665672">
              <w:rPr>
                <w:rFonts w:eastAsiaTheme="minorHAnsi"/>
                <w:b/>
                <w:bCs/>
                <w:lang w:eastAsia="en-US"/>
              </w:rPr>
              <w:t>В Гражданском кодексе РФ уточнено определение понятия "самовольная постройка"</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Установлено, что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Право собственности на самовольную постройку может быть признано при одновременном соблюдении следующих условий:</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если в отношении земельного участка лицо, осуществившее постройку, имеет права, допускающие строительство на нем данного объекта;</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 xml:space="preserve">если на день обращения в суд постройка соответствует параметрам, </w:t>
            </w:r>
            <w:r w:rsidRPr="00665672">
              <w:rPr>
                <w:rFonts w:eastAsiaTheme="minorHAnsi"/>
                <w:bCs/>
                <w:lang w:eastAsia="en-US"/>
              </w:rPr>
              <w:lastRenderedPageBreak/>
              <w:t>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если сохранение постройки не нарушает права и охраняемые законом интересы других лиц и не создает угрозу жизни и здоровью граждан.</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Кроме того,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РФ) или на территории общего пользования либо в полосе отвода инженерных сетей федерального, регионального или местного значения. Определен порядок публикации такого решения и его реализации.</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Также Федеральным законом урегулирован порядок применения граж</w:t>
            </w:r>
            <w:r w:rsidRPr="00665672">
              <w:rPr>
                <w:rFonts w:eastAsiaTheme="minorHAnsi"/>
                <w:bCs/>
                <w:lang w:eastAsia="en-US"/>
              </w:rPr>
              <w:lastRenderedPageBreak/>
              <w:t>данского законодательства РФ к сделкам, в том числе односторонним, совершенным на территориях Республики Крым и города федерального значения Севастополя до дня принятиях их в состав РФ.</w:t>
            </w:r>
          </w:p>
          <w:p w:rsidR="00665672" w:rsidRPr="00665672" w:rsidRDefault="00665672" w:rsidP="00665672">
            <w:pPr>
              <w:autoSpaceDE w:val="0"/>
              <w:autoSpaceDN w:val="0"/>
              <w:adjustRightInd w:val="0"/>
              <w:ind w:firstLine="540"/>
              <w:jc w:val="both"/>
              <w:rPr>
                <w:rFonts w:eastAsiaTheme="minorHAnsi"/>
                <w:bCs/>
                <w:lang w:eastAsia="en-US"/>
              </w:rPr>
            </w:pPr>
            <w:r w:rsidRPr="00665672">
              <w:rPr>
                <w:rFonts w:eastAsiaTheme="minorHAnsi"/>
                <w:bCs/>
                <w:lang w:eastAsia="en-US"/>
              </w:rPr>
              <w:t>Федеральный закон вступает в силу с 1 сентября 2015 года.</w:t>
            </w: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665672" w:rsidRPr="00665672" w:rsidRDefault="00665672" w:rsidP="00665672">
            <w:pPr>
              <w:jc w:val="both"/>
              <w:rPr>
                <w:bCs/>
              </w:rPr>
            </w:pPr>
            <w:r w:rsidRPr="00665672">
              <w:rPr>
                <w:bCs/>
              </w:rPr>
              <w:lastRenderedPageBreak/>
              <w:t>Официальный интернет-портал правовой информации http://www.pravo.gov.ru, 13.07.2015,</w:t>
            </w:r>
          </w:p>
          <w:p w:rsidR="00665672" w:rsidRPr="00665672" w:rsidRDefault="00665672" w:rsidP="00665672">
            <w:pPr>
              <w:jc w:val="both"/>
              <w:rPr>
                <w:bCs/>
              </w:rPr>
            </w:pPr>
            <w:r w:rsidRPr="00665672">
              <w:rPr>
                <w:bCs/>
              </w:rPr>
              <w:t>"Российская газета", N 154, 16.07.2015,</w:t>
            </w:r>
          </w:p>
          <w:p w:rsidR="00665672" w:rsidRPr="00665672" w:rsidRDefault="00665672" w:rsidP="00665672">
            <w:pPr>
              <w:jc w:val="both"/>
              <w:rPr>
                <w:bCs/>
              </w:rPr>
            </w:pPr>
            <w:r w:rsidRPr="00665672">
              <w:rPr>
                <w:bCs/>
              </w:rPr>
              <w:t>"Собрание законодательства РФ", 20.07.2015, N 29 (часть I), ст. 4384</w:t>
            </w:r>
          </w:p>
          <w:p w:rsidR="00665672" w:rsidRPr="00665672" w:rsidRDefault="00665672" w:rsidP="00665672">
            <w:pPr>
              <w:jc w:val="both"/>
              <w:rPr>
                <w:bCs/>
              </w:rPr>
            </w:pPr>
            <w:r w:rsidRPr="00665672">
              <w:rPr>
                <w:bCs/>
              </w:rPr>
              <w:t xml:space="preserve">Начало действия документа - </w:t>
            </w:r>
            <w:hyperlink r:id="rId8" w:history="1">
              <w:r w:rsidRPr="00665672">
                <w:rPr>
                  <w:rStyle w:val="a9"/>
                  <w:bCs/>
                </w:rPr>
                <w:t>01.09.2015</w:t>
              </w:r>
            </w:hyperlink>
            <w:r w:rsidRPr="00665672">
              <w:rPr>
                <w:bCs/>
              </w:rPr>
              <w:t>.</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9.</w:t>
            </w:r>
          </w:p>
        </w:tc>
        <w:tc>
          <w:tcPr>
            <w:tcW w:w="3045" w:type="dxa"/>
            <w:gridSpan w:val="2"/>
          </w:tcPr>
          <w:p w:rsidR="00665672" w:rsidRPr="00665672" w:rsidRDefault="00665672" w:rsidP="009C6E34">
            <w:pPr>
              <w:jc w:val="both"/>
              <w:rPr>
                <w:bCs/>
              </w:rPr>
            </w:pPr>
            <w:r w:rsidRPr="00665672">
              <w:rPr>
                <w:bCs/>
              </w:rPr>
              <w:t>Приказ Минстроя России от 23.06.2015 N 446/</w:t>
            </w:r>
            <w:proofErr w:type="spellStart"/>
            <w:r w:rsidRPr="00665672">
              <w:rPr>
                <w:bCs/>
              </w:rPr>
              <w:t>пр</w:t>
            </w:r>
            <w:proofErr w:type="spellEnd"/>
          </w:p>
          <w:p w:rsidR="00665672" w:rsidRPr="00665672" w:rsidRDefault="00665672" w:rsidP="00665672">
            <w:pPr>
              <w:jc w:val="both"/>
              <w:rPr>
                <w:bCs/>
              </w:rPr>
            </w:pPr>
            <w:r w:rsidRPr="00665672">
              <w:rPr>
                <w:bCs/>
              </w:rPr>
              <w:t>"О нормативе стоимости одного квадратного метра общей площади жилого помещения по Российской Федерации на второе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2015 года"</w:t>
            </w:r>
          </w:p>
          <w:p w:rsidR="00665672" w:rsidRPr="00665672" w:rsidRDefault="00665672" w:rsidP="009C6E34">
            <w:pPr>
              <w:jc w:val="both"/>
              <w:rPr>
                <w:bCs/>
              </w:rPr>
            </w:pPr>
            <w:r w:rsidRPr="00665672">
              <w:rPr>
                <w:bCs/>
              </w:rPr>
              <w:t>Зарегистрировано в Минюсте России 08.07.2015 N 37930.</w:t>
            </w:r>
          </w:p>
          <w:p w:rsidR="00461B56" w:rsidRPr="00461B56" w:rsidRDefault="00461B56" w:rsidP="009C6E34">
            <w:pPr>
              <w:jc w:val="both"/>
              <w:rPr>
                <w:bCs/>
              </w:rPr>
            </w:pPr>
          </w:p>
        </w:tc>
        <w:tc>
          <w:tcPr>
            <w:tcW w:w="4290" w:type="dxa"/>
            <w:gridSpan w:val="3"/>
          </w:tcPr>
          <w:p w:rsidR="009C6E34" w:rsidRPr="009C6E34" w:rsidRDefault="009C6E34" w:rsidP="009C6E34">
            <w:pPr>
              <w:autoSpaceDE w:val="0"/>
              <w:autoSpaceDN w:val="0"/>
              <w:adjustRightInd w:val="0"/>
              <w:ind w:firstLine="540"/>
              <w:jc w:val="both"/>
              <w:rPr>
                <w:rFonts w:eastAsiaTheme="minorHAnsi"/>
                <w:b/>
                <w:bCs/>
                <w:lang w:eastAsia="en-US"/>
              </w:rPr>
            </w:pPr>
            <w:r w:rsidRPr="009C6E34">
              <w:rPr>
                <w:rFonts w:eastAsiaTheme="minorHAnsi"/>
                <w:b/>
                <w:bCs/>
                <w:lang w:eastAsia="en-US"/>
              </w:rPr>
              <w:t>Норматив стоимости 1 кв. м общей площади жилого помещения по России на второе полугодие 2015 года определен в размере 35915 рублей</w:t>
            </w:r>
          </w:p>
          <w:p w:rsidR="009C6E34" w:rsidRPr="009C6E34" w:rsidRDefault="009C6E34" w:rsidP="009C6E34">
            <w:pPr>
              <w:autoSpaceDE w:val="0"/>
              <w:autoSpaceDN w:val="0"/>
              <w:adjustRightInd w:val="0"/>
              <w:ind w:firstLine="540"/>
              <w:jc w:val="both"/>
              <w:rPr>
                <w:rFonts w:eastAsiaTheme="minorHAnsi"/>
                <w:bCs/>
                <w:lang w:eastAsia="en-US"/>
              </w:rPr>
            </w:pPr>
            <w:r w:rsidRPr="009C6E34">
              <w:rPr>
                <w:rFonts w:eastAsiaTheme="minorHAnsi"/>
                <w:bCs/>
                <w:lang w:eastAsia="en-US"/>
              </w:rPr>
              <w:t>Указанный размер остается неизменным со второго полугодия 2014 года.</w:t>
            </w:r>
          </w:p>
          <w:p w:rsidR="009C6E34" w:rsidRPr="009C6E34" w:rsidRDefault="009C6E34" w:rsidP="009C6E34">
            <w:pPr>
              <w:autoSpaceDE w:val="0"/>
              <w:autoSpaceDN w:val="0"/>
              <w:adjustRightInd w:val="0"/>
              <w:ind w:firstLine="540"/>
              <w:jc w:val="both"/>
              <w:rPr>
                <w:rFonts w:eastAsiaTheme="minorHAnsi"/>
                <w:bCs/>
                <w:lang w:eastAsia="en-US"/>
              </w:rPr>
            </w:pPr>
            <w:r w:rsidRPr="009C6E34">
              <w:rPr>
                <w:rFonts w:eastAsiaTheme="minorHAnsi"/>
                <w:bCs/>
                <w:lang w:eastAsia="en-US"/>
              </w:rPr>
              <w:t>Одновременно утверждены показатели средней рыночной стоимости 1 кв. м общей площади жилого помещения по субъектам РФ на III квартал 2015 года, которые применяются федеральными органами исполнительной власти, органами исполнительной власти субъектов РФ для расчета размеров социальных выплат для всех категорий граждан, которым указанные социальные выплаты предоставляются на приобретение жилья за счет средств федерального бюджета.</w:t>
            </w:r>
          </w:p>
          <w:p w:rsidR="009C6E34" w:rsidRPr="009C6E34" w:rsidRDefault="009C6E34" w:rsidP="009C6E34">
            <w:pPr>
              <w:autoSpaceDE w:val="0"/>
              <w:autoSpaceDN w:val="0"/>
              <w:adjustRightInd w:val="0"/>
              <w:ind w:firstLine="540"/>
              <w:jc w:val="both"/>
              <w:rPr>
                <w:rFonts w:eastAsiaTheme="minorHAnsi"/>
                <w:bCs/>
                <w:lang w:eastAsia="en-US"/>
              </w:rPr>
            </w:pPr>
            <w:r w:rsidRPr="009C6E34">
              <w:rPr>
                <w:rFonts w:eastAsiaTheme="minorHAnsi"/>
                <w:bCs/>
                <w:lang w:eastAsia="en-US"/>
              </w:rPr>
              <w:t xml:space="preserve">Так, в частности, показатели средней рыночной стоимости 1 кв. м общей площади жилого помещения по г. Москве и по Московской области по </w:t>
            </w:r>
            <w:r w:rsidRPr="009C6E34">
              <w:rPr>
                <w:rFonts w:eastAsiaTheme="minorHAnsi"/>
                <w:bCs/>
                <w:lang w:eastAsia="en-US"/>
              </w:rPr>
              <w:lastRenderedPageBreak/>
              <w:t>сравнению с II кварталом 2015 года не изменились и составляют 90400 рублей и 51225 рублей соответственно, по г. Санкт-Петербургу показатель также не изменился и составляет 56688 рублей.</w:t>
            </w:r>
          </w:p>
          <w:p w:rsidR="00461B56" w:rsidRPr="009C6E34" w:rsidRDefault="00461B56" w:rsidP="00461B56">
            <w:pPr>
              <w:autoSpaceDE w:val="0"/>
              <w:autoSpaceDN w:val="0"/>
              <w:adjustRightInd w:val="0"/>
              <w:ind w:firstLine="540"/>
              <w:jc w:val="both"/>
              <w:rPr>
                <w:rFonts w:eastAsiaTheme="minorHAnsi"/>
                <w:bCs/>
                <w:lang w:eastAsia="en-US"/>
              </w:rPr>
            </w:pPr>
          </w:p>
        </w:tc>
        <w:tc>
          <w:tcPr>
            <w:tcW w:w="6700" w:type="dxa"/>
            <w:gridSpan w:val="2"/>
          </w:tcPr>
          <w:p w:rsidR="009C6E34" w:rsidRPr="009C6E34" w:rsidRDefault="009C6E34" w:rsidP="009C6E34">
            <w:pPr>
              <w:jc w:val="both"/>
              <w:rPr>
                <w:bCs/>
              </w:rPr>
            </w:pPr>
            <w:r w:rsidRPr="009C6E34">
              <w:rPr>
                <w:bCs/>
              </w:rPr>
              <w:lastRenderedPageBreak/>
              <w:t>Официальный интернет-портал правовой информации http://www.pravo.gov.ru, 10.07.2015,</w:t>
            </w:r>
          </w:p>
          <w:p w:rsidR="009C6E34" w:rsidRPr="009C6E34" w:rsidRDefault="009C6E34" w:rsidP="009C6E34">
            <w:pPr>
              <w:jc w:val="both"/>
              <w:rPr>
                <w:bCs/>
              </w:rPr>
            </w:pPr>
            <w:r w:rsidRPr="009C6E34">
              <w:rPr>
                <w:bCs/>
              </w:rPr>
              <w:t>"Российская газета", N 157, 20.07.2015</w:t>
            </w:r>
          </w:p>
          <w:p w:rsidR="009C6E34" w:rsidRPr="009C6E34" w:rsidRDefault="009C6E34" w:rsidP="009C6E34">
            <w:pPr>
              <w:jc w:val="both"/>
              <w:rPr>
                <w:bCs/>
              </w:rPr>
            </w:pPr>
            <w:r w:rsidRPr="009C6E34">
              <w:rPr>
                <w:bCs/>
              </w:rPr>
              <w:t>Начало действия документа - 21.07.2015.</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10</w:t>
            </w:r>
            <w:r w:rsidR="00DE4D17" w:rsidRPr="00DE4D17">
              <w:rPr>
                <w:bCs/>
              </w:rPr>
              <w:t>.</w:t>
            </w:r>
          </w:p>
        </w:tc>
        <w:tc>
          <w:tcPr>
            <w:tcW w:w="3045" w:type="dxa"/>
            <w:gridSpan w:val="2"/>
          </w:tcPr>
          <w:p w:rsidR="008F5DA8" w:rsidRPr="008F5DA8" w:rsidRDefault="008F5DA8" w:rsidP="008F5DA8">
            <w:pPr>
              <w:jc w:val="center"/>
              <w:rPr>
                <w:bCs/>
              </w:rPr>
            </w:pPr>
            <w:r w:rsidRPr="008F5DA8">
              <w:rPr>
                <w:bCs/>
              </w:rPr>
              <w:t>Федеральный закон от 13 июля 2015 г. N 252-ФЗ "О внесении изменений в Земельный кодекс Российской Федерации и отдельные законодательные акты Российской Федерации"</w:t>
            </w:r>
          </w:p>
          <w:p w:rsidR="008F5DA8" w:rsidRPr="008F5DA8" w:rsidRDefault="008F5DA8" w:rsidP="008F5DA8">
            <w:pPr>
              <w:jc w:val="center"/>
              <w:rPr>
                <w:bCs/>
              </w:rPr>
            </w:pPr>
          </w:p>
          <w:p w:rsidR="00461B56" w:rsidRPr="00461B56" w:rsidRDefault="00461B56" w:rsidP="00461B56">
            <w:pPr>
              <w:jc w:val="center"/>
              <w:rPr>
                <w:bCs/>
              </w:rPr>
            </w:pPr>
          </w:p>
        </w:tc>
        <w:tc>
          <w:tcPr>
            <w:tcW w:w="4290" w:type="dxa"/>
            <w:gridSpan w:val="3"/>
          </w:tcPr>
          <w:p w:rsidR="008F5DA8" w:rsidRPr="008F5DA8" w:rsidRDefault="008F5DA8" w:rsidP="008F5DA8">
            <w:pPr>
              <w:autoSpaceDE w:val="0"/>
              <w:autoSpaceDN w:val="0"/>
              <w:adjustRightInd w:val="0"/>
              <w:ind w:firstLine="540"/>
              <w:jc w:val="both"/>
              <w:rPr>
                <w:rFonts w:eastAsiaTheme="minorHAnsi"/>
                <w:b/>
                <w:bCs/>
                <w:lang w:eastAsia="en-US"/>
              </w:rPr>
            </w:pPr>
            <w:r w:rsidRPr="008F5DA8">
              <w:rPr>
                <w:rFonts w:eastAsiaTheme="minorHAnsi"/>
                <w:b/>
                <w:bCs/>
                <w:lang w:eastAsia="en-US"/>
              </w:rPr>
              <w:t>Поправки направлены на совершенствование градостроительной деятельности и государственного кадастрового учета объектов недвижимости.</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 xml:space="preserve">Расширен перечень документов, необходимых для принятия решения о выдаче разрешения на ввод объекта в эксплуатацию. В него включен технический план объекта капстроительства, который выступает обязательным приложением к разрешению на ввод объекта в эксплуатацию. План готовится в соответствии с Законом о </w:t>
            </w:r>
            <w:proofErr w:type="spellStart"/>
            <w:r w:rsidRPr="008F5DA8">
              <w:rPr>
                <w:rFonts w:eastAsiaTheme="minorHAnsi"/>
                <w:bCs/>
                <w:lang w:eastAsia="en-US"/>
              </w:rPr>
              <w:t>госкадастре</w:t>
            </w:r>
            <w:proofErr w:type="spellEnd"/>
            <w:r w:rsidRPr="008F5DA8">
              <w:rPr>
                <w:rFonts w:eastAsiaTheme="minorHAnsi"/>
                <w:bCs/>
                <w:lang w:eastAsia="en-US"/>
              </w:rPr>
              <w:t xml:space="preserve"> недвижимости.</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 xml:space="preserve">С 1 января 2018 г. для выдачи разрешения на ввод в эксплуатацию объектов электроэнергетики, системы газоснабжения, транспортной инфраструктуры, трубопроводного транспорта или связи заявитель должен будет представить описание местоположения границ охранной зоны и перечень координат характерных точек границ такой зоны. Представлять указанные документы не потребуется в случае ввода в эксплуатацию реконструированного объекта, </w:t>
            </w:r>
            <w:r w:rsidRPr="008F5DA8">
              <w:rPr>
                <w:rFonts w:eastAsiaTheme="minorHAnsi"/>
                <w:bCs/>
                <w:lang w:eastAsia="en-US"/>
              </w:rPr>
              <w:lastRenderedPageBreak/>
              <w:t>если после реконструкции местоположение границ ранее установленной охранной зоны не изменилось.</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Разрешение на ввод в эксплуатацию объекта с охранной зоной будет одновременно являться решением об установлении охранной зоны указанного объекта.</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 xml:space="preserve">Уточнен порядок внесения в государственный кадастр недвижимости сведений об установлении или изменении границ зоны с особыми условиями использования территорий. Устанавливается срок внесения в </w:t>
            </w:r>
            <w:proofErr w:type="spellStart"/>
            <w:r w:rsidRPr="008F5DA8">
              <w:rPr>
                <w:rFonts w:eastAsiaTheme="minorHAnsi"/>
                <w:bCs/>
                <w:lang w:eastAsia="en-US"/>
              </w:rPr>
              <w:t>госкадастр</w:t>
            </w:r>
            <w:proofErr w:type="spellEnd"/>
            <w:r w:rsidRPr="008F5DA8">
              <w:rPr>
                <w:rFonts w:eastAsiaTheme="minorHAnsi"/>
                <w:bCs/>
                <w:lang w:eastAsia="en-US"/>
              </w:rPr>
              <w:t xml:space="preserve"> сведений о местоположении границ зон с особыми условиями использования территории - до 1 января 2022 г.</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 xml:space="preserve">Владельцев земельных участков, включенных в границы зоны с особыми условиями использования территории, должны уведомлять об ограничениях использования участков в границах такой зоны в течение 15 дней с даты внесения в </w:t>
            </w:r>
            <w:proofErr w:type="spellStart"/>
            <w:r w:rsidRPr="008F5DA8">
              <w:rPr>
                <w:rFonts w:eastAsiaTheme="minorHAnsi"/>
                <w:bCs/>
                <w:lang w:eastAsia="en-US"/>
              </w:rPr>
              <w:t>госкадастр</w:t>
            </w:r>
            <w:proofErr w:type="spellEnd"/>
            <w:r w:rsidRPr="008F5DA8">
              <w:rPr>
                <w:rFonts w:eastAsiaTheme="minorHAnsi"/>
                <w:bCs/>
                <w:lang w:eastAsia="en-US"/>
              </w:rPr>
              <w:t xml:space="preserve"> недвижимости сведений об установлении такой зоны.</w:t>
            </w:r>
          </w:p>
          <w:p w:rsidR="008F5DA8" w:rsidRPr="008F5DA8" w:rsidRDefault="008F5DA8" w:rsidP="008F5DA8">
            <w:pPr>
              <w:autoSpaceDE w:val="0"/>
              <w:autoSpaceDN w:val="0"/>
              <w:adjustRightInd w:val="0"/>
              <w:ind w:firstLine="540"/>
              <w:jc w:val="both"/>
              <w:rPr>
                <w:rFonts w:eastAsiaTheme="minorHAnsi"/>
                <w:bCs/>
                <w:lang w:eastAsia="en-US"/>
              </w:rPr>
            </w:pPr>
            <w:r w:rsidRPr="008F5DA8">
              <w:rPr>
                <w:rFonts w:eastAsiaTheme="minorHAnsi"/>
                <w:bCs/>
                <w:lang w:eastAsia="en-US"/>
              </w:rPr>
              <w:t>Федеральный закон вступает в силу со дня его официального опубликования, за исключением положений, для которых установлены иные сроки введения в действие.</w:t>
            </w:r>
          </w:p>
          <w:p w:rsidR="00461B56" w:rsidRPr="009C6E34" w:rsidRDefault="00461B56" w:rsidP="00461B56">
            <w:pPr>
              <w:autoSpaceDE w:val="0"/>
              <w:autoSpaceDN w:val="0"/>
              <w:adjustRightInd w:val="0"/>
              <w:ind w:firstLine="540"/>
              <w:jc w:val="both"/>
              <w:rPr>
                <w:rFonts w:eastAsiaTheme="minorHAnsi"/>
                <w:bCs/>
                <w:lang w:eastAsia="en-US"/>
              </w:rPr>
            </w:pPr>
          </w:p>
        </w:tc>
        <w:tc>
          <w:tcPr>
            <w:tcW w:w="6700" w:type="dxa"/>
            <w:gridSpan w:val="2"/>
          </w:tcPr>
          <w:p w:rsidR="008A0AC9" w:rsidRPr="008A0AC9" w:rsidRDefault="008A0AC9" w:rsidP="008A0AC9">
            <w:pPr>
              <w:jc w:val="both"/>
              <w:rPr>
                <w:bCs/>
              </w:rPr>
            </w:pPr>
            <w:r w:rsidRPr="008A0AC9">
              <w:rPr>
                <w:bCs/>
              </w:rPr>
              <w:lastRenderedPageBreak/>
              <w:t>Настоящий Федеральный закон вступает в силу 13 июля 2015 г., за исключением пункта 6 статьи 1, статей 2 и 4, вступающих в силу 1 января 2016 г., и подпункта "б" пункта 1, пункта 4 статьи 3, части 1 статьи 5, вступающих в силу 1 января 2018 г.</w:t>
            </w:r>
          </w:p>
          <w:p w:rsidR="008A0AC9" w:rsidRPr="008A0AC9" w:rsidRDefault="008A0AC9" w:rsidP="008A0AC9">
            <w:pPr>
              <w:jc w:val="both"/>
              <w:rPr>
                <w:bCs/>
              </w:rPr>
            </w:pPr>
          </w:p>
          <w:p w:rsidR="008A0AC9" w:rsidRPr="008A0AC9" w:rsidRDefault="008A0AC9" w:rsidP="008A0AC9">
            <w:pPr>
              <w:jc w:val="both"/>
              <w:rPr>
                <w:bCs/>
              </w:rPr>
            </w:pPr>
            <w:r w:rsidRPr="008A0AC9">
              <w:rPr>
                <w:bCs/>
              </w:rPr>
              <w:t>Текст Федерального закона опубликован на "Официальном интернет-портале правовой информации" (www.pravo.gov.ru) 13 июля 2015 г., в "Российской газете" от 17 июля 2015 г. N 156, в Собрании законодательства Российской Федерации от 20 июля 2015 г. N 29 (часть I) ст. 4378</w:t>
            </w:r>
          </w:p>
          <w:p w:rsidR="008A0AC9" w:rsidRPr="008A0AC9" w:rsidRDefault="008A0AC9" w:rsidP="008A0AC9">
            <w:pPr>
              <w:jc w:val="both"/>
              <w:rPr>
                <w:bCs/>
              </w:rPr>
            </w:pPr>
          </w:p>
          <w:p w:rsidR="00461B56" w:rsidRPr="00461B56" w:rsidRDefault="00461B56" w:rsidP="00461B56">
            <w:pPr>
              <w:jc w:val="both"/>
              <w:rPr>
                <w:bCs/>
              </w:rPr>
            </w:pPr>
          </w:p>
        </w:tc>
      </w:tr>
      <w:tr w:rsidR="00DE4D17" w:rsidTr="00660312">
        <w:tc>
          <w:tcPr>
            <w:tcW w:w="704" w:type="dxa"/>
          </w:tcPr>
          <w:p w:rsidR="00DE4D17" w:rsidRPr="00DE4D17" w:rsidRDefault="00DE4D17" w:rsidP="00461B56">
            <w:pPr>
              <w:jc w:val="center"/>
              <w:rPr>
                <w:bCs/>
              </w:rPr>
            </w:pPr>
            <w:r w:rsidRPr="00DE4D17">
              <w:rPr>
                <w:bCs/>
              </w:rPr>
              <w:lastRenderedPageBreak/>
              <w:t xml:space="preserve">11. </w:t>
            </w:r>
          </w:p>
        </w:tc>
        <w:tc>
          <w:tcPr>
            <w:tcW w:w="3045" w:type="dxa"/>
            <w:gridSpan w:val="2"/>
          </w:tcPr>
          <w:p w:rsidR="008A0AC9" w:rsidRPr="008A0AC9" w:rsidRDefault="008A0AC9" w:rsidP="008A0AC9">
            <w:pPr>
              <w:jc w:val="both"/>
              <w:rPr>
                <w:bCs/>
              </w:rPr>
            </w:pPr>
            <w:r w:rsidRPr="008A0AC9">
              <w:rPr>
                <w:bCs/>
              </w:rPr>
              <w:t>Федеральный закон от 13 июля 2015 г. N 250-ФЗ "О внесении изменений в Федеральный закон "О защите конкуренции" и отдельные законодательные акты Российской Федерации"</w:t>
            </w:r>
          </w:p>
          <w:p w:rsidR="00DE4D17" w:rsidRPr="00461B56" w:rsidRDefault="00DE4D17" w:rsidP="00461B56">
            <w:pPr>
              <w:jc w:val="center"/>
              <w:rPr>
                <w:bCs/>
              </w:rPr>
            </w:pPr>
          </w:p>
        </w:tc>
        <w:tc>
          <w:tcPr>
            <w:tcW w:w="4290" w:type="dxa"/>
            <w:gridSpan w:val="3"/>
          </w:tcPr>
          <w:p w:rsidR="008A0AC9" w:rsidRPr="008A0AC9" w:rsidRDefault="008A0AC9" w:rsidP="008A0AC9">
            <w:pPr>
              <w:autoSpaceDE w:val="0"/>
              <w:autoSpaceDN w:val="0"/>
              <w:adjustRightInd w:val="0"/>
              <w:ind w:firstLine="540"/>
              <w:jc w:val="both"/>
              <w:rPr>
                <w:rFonts w:eastAsiaTheme="minorHAnsi"/>
                <w:b/>
                <w:bCs/>
                <w:lang w:eastAsia="en-US"/>
              </w:rPr>
            </w:pPr>
            <w:r w:rsidRPr="008A0AC9">
              <w:rPr>
                <w:rFonts w:eastAsiaTheme="minorHAnsi"/>
                <w:b/>
                <w:bCs/>
                <w:lang w:eastAsia="en-US"/>
              </w:rPr>
              <w:t>Регламентирована процедура рассмотрения антимонопольным органом жалоб на нарушение чиновниками порядка выдачи разрешений на строительство и ввод объекта в эксплуатацию.</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Речь идет о жалобах на нарушение сроков осуществления разрешительных процедур в строительстве и предъявление незаконных требований.</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Также прописан порядок рассмотрения жалоб на незаконные действия организаций, эксплуатирующих сети (территориальных сетевых организаций, организаций водопроводно-канализационного хозяйства, тепло- и газоснабжающих организаций).</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Уточнена ответственность за нарушение правил недискриминационного доступа к сетям. За повторное нарушение возможна дисквалификация должностного лица.</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Вводится административная ответственность для чиновников за нарушение порядка осуществления процедур в строительстве.</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 xml:space="preserve">Кроме того, предусмотрены дополнительные основания продления срока подготовки и утверждения градостроительного плана земельного участка. Это направление проекта </w:t>
            </w:r>
            <w:r w:rsidRPr="008A0AC9">
              <w:rPr>
                <w:rFonts w:eastAsiaTheme="minorHAnsi"/>
                <w:bCs/>
                <w:lang w:eastAsia="en-US"/>
              </w:rPr>
              <w:lastRenderedPageBreak/>
              <w:t>плана на публичные слушания и выявление противоречий в представленных документах.</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Федеральный закон вступает в силу через 180 дней после его официального опубликования.</w:t>
            </w:r>
          </w:p>
          <w:p w:rsidR="00DE4D17" w:rsidRPr="009C6E34" w:rsidRDefault="00DE4D17" w:rsidP="00461B56">
            <w:pPr>
              <w:autoSpaceDE w:val="0"/>
              <w:autoSpaceDN w:val="0"/>
              <w:adjustRightInd w:val="0"/>
              <w:ind w:firstLine="540"/>
              <w:jc w:val="both"/>
              <w:rPr>
                <w:rFonts w:eastAsiaTheme="minorHAnsi"/>
                <w:bCs/>
                <w:lang w:eastAsia="en-US"/>
              </w:rPr>
            </w:pPr>
          </w:p>
        </w:tc>
        <w:tc>
          <w:tcPr>
            <w:tcW w:w="6700" w:type="dxa"/>
            <w:gridSpan w:val="2"/>
          </w:tcPr>
          <w:p w:rsidR="008A0AC9" w:rsidRPr="008A0AC9" w:rsidRDefault="008A0AC9" w:rsidP="008A0AC9">
            <w:pPr>
              <w:jc w:val="both"/>
              <w:rPr>
                <w:bCs/>
              </w:rPr>
            </w:pPr>
            <w:r w:rsidRPr="008A0AC9">
              <w:rPr>
                <w:bCs/>
              </w:rPr>
              <w:lastRenderedPageBreak/>
              <w:t>Настоящий Федеральный закон вступает в силу 10 января 2016 г.</w:t>
            </w:r>
          </w:p>
          <w:p w:rsidR="008A0AC9" w:rsidRPr="008A0AC9" w:rsidRDefault="008A0AC9" w:rsidP="008A0AC9">
            <w:pPr>
              <w:jc w:val="both"/>
              <w:rPr>
                <w:bCs/>
              </w:rPr>
            </w:pPr>
          </w:p>
          <w:p w:rsidR="008A0AC9" w:rsidRPr="008A0AC9" w:rsidRDefault="008A0AC9" w:rsidP="008A0AC9">
            <w:pPr>
              <w:jc w:val="both"/>
              <w:rPr>
                <w:bCs/>
              </w:rPr>
            </w:pPr>
            <w:r w:rsidRPr="008A0AC9">
              <w:rPr>
                <w:bCs/>
              </w:rPr>
              <w:t>Текст Федерального закона опубликован на "Официальном интернет-портале правовой информации" (www.pravo.gov.ru) 13 июля 2015 г., в "Российской газете" от 17 июля 2015 г. N 156, в Собрании законодательства Российской Федерации от 20 июля 2015 г. N 29 (часть I) ст. 4376</w:t>
            </w:r>
          </w:p>
          <w:p w:rsidR="008A0AC9" w:rsidRPr="008A0AC9" w:rsidRDefault="008A0AC9" w:rsidP="008A0AC9">
            <w:pPr>
              <w:jc w:val="both"/>
              <w:rPr>
                <w:bCs/>
              </w:rPr>
            </w:pPr>
          </w:p>
          <w:p w:rsidR="00DE4D17" w:rsidRPr="00461B56" w:rsidRDefault="00DE4D17" w:rsidP="00461B56">
            <w:pPr>
              <w:jc w:val="both"/>
              <w:rPr>
                <w:bCs/>
              </w:rPr>
            </w:pPr>
          </w:p>
        </w:tc>
      </w:tr>
      <w:tr w:rsidR="008A0AC9" w:rsidTr="00660312">
        <w:tc>
          <w:tcPr>
            <w:tcW w:w="704" w:type="dxa"/>
          </w:tcPr>
          <w:p w:rsidR="008A0AC9" w:rsidRPr="00DE4D17" w:rsidRDefault="00A344B4" w:rsidP="00461B56">
            <w:pPr>
              <w:jc w:val="center"/>
              <w:rPr>
                <w:bCs/>
              </w:rPr>
            </w:pPr>
            <w:r>
              <w:rPr>
                <w:bCs/>
              </w:rPr>
              <w:lastRenderedPageBreak/>
              <w:t>12.</w:t>
            </w:r>
          </w:p>
        </w:tc>
        <w:tc>
          <w:tcPr>
            <w:tcW w:w="3045" w:type="dxa"/>
            <w:gridSpan w:val="2"/>
          </w:tcPr>
          <w:p w:rsidR="008A0AC9" w:rsidRPr="008A0AC9" w:rsidRDefault="008A0AC9" w:rsidP="008A0AC9">
            <w:pPr>
              <w:jc w:val="both"/>
              <w:rPr>
                <w:bCs/>
              </w:rPr>
            </w:pPr>
            <w:r w:rsidRPr="008A0AC9">
              <w:rPr>
                <w:bCs/>
              </w:rPr>
              <w:t>Федеральный закон от 13.07.2015 N 220-ФЗ</w:t>
            </w:r>
          </w:p>
          <w:p w:rsidR="008A0AC9" w:rsidRPr="008A0AC9" w:rsidRDefault="008A0AC9" w:rsidP="008A0AC9">
            <w:pPr>
              <w:jc w:val="both"/>
              <w:rPr>
                <w:b/>
                <w:bCs/>
              </w:rPr>
            </w:pPr>
            <w:r w:rsidRPr="008A0AC9">
              <w:rPr>
                <w:bC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A0AC9" w:rsidRPr="008A0AC9" w:rsidRDefault="008A0AC9" w:rsidP="008A0AC9">
            <w:pPr>
              <w:jc w:val="both"/>
              <w:rPr>
                <w:bCs/>
              </w:rPr>
            </w:pPr>
          </w:p>
        </w:tc>
        <w:tc>
          <w:tcPr>
            <w:tcW w:w="4290" w:type="dxa"/>
            <w:gridSpan w:val="3"/>
          </w:tcPr>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b/>
                <w:bCs/>
                <w:lang w:eastAsia="en-US"/>
              </w:rPr>
              <w:t>Организация в РФ регулярных пассажирских перевозок автомобильным транспортом и городским наземным электрическим транспортом урегулирована отдельным федеральным законом</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Закон регламентирует, в том числе, отношения, связанные с установлением и отменой маршрутов регулярных перевозок, допуском юридических лиц и индивидуальных предпринимателей к их осуществлению, использованием для их осуществления объектов транспортной инфраструктуры, а также с организацией контроля за их осуществлением.</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 xml:space="preserve">Согласно закону межрегиональный маршрут регулярных перевозок устанавливается уполномоченным федеральным органом власти по предложению лица, имеющего намерение осуществлять регулярные перевозки или осуществляющего их по данному маршруту. В течение семи дней со дня включения такого маршрута в реестр </w:t>
            </w:r>
            <w:r w:rsidRPr="008A0AC9">
              <w:rPr>
                <w:rFonts w:eastAsiaTheme="minorHAnsi"/>
                <w:lang w:eastAsia="en-US"/>
              </w:rPr>
              <w:lastRenderedPageBreak/>
              <w:t>межрегиональных маршрутов регулярных перевозок уполномоченный федеральный орган выдает заявителю свидетельство об осуществлении перевозок по данному маршруту и карты данного маршрута.</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Тарифы на регулярные перевозки по межрегиональным маршрутам устанавливаются лицами, которым предоставлено такое свидетельство.</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Муниципальные маршруты регулярных перевозок в границах одного городского поселения устанавливаются уполномоченным органом местного самоуправления соответствующего поселения.</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Регулируемые тарифы на такие перевозки в границах одного сельского поселения, а также двух и более поселений, находящихся в границах одного муниципального района, устанавливаются органом местного самоуправления муниципального района, в состав которого входят указанные поселения.</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Муниципальные маршруты в границах Москвы, Санкт-Петербурга и Севастополя, а также межмуниципальные маршруты в границах субъектов РФ устанавливаются региональными органами власти.</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 xml:space="preserve">Право на получение свидетельства об осуществлении перевозок по одному или нескольким муниципальным, </w:t>
            </w:r>
            <w:r w:rsidRPr="008A0AC9">
              <w:rPr>
                <w:rFonts w:eastAsiaTheme="minorHAnsi"/>
                <w:lang w:eastAsia="en-US"/>
              </w:rPr>
              <w:lastRenderedPageBreak/>
              <w:t>межмуниципальным или смежным межрегиональным маршрутам регулярных перевозок является предметом открытого конкурса.</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Для обеспечения доступности транспортных услуг для населения уполномоченные региональные и местные органы власти устанавливают муниципальные, межмуниципальные, смежные межрегиональные маршруты регулярных перевозок, по которым перевозки осуществляются по регулируемым тарифам.</w:t>
            </w:r>
          </w:p>
          <w:p w:rsidR="008A0AC9" w:rsidRPr="008A0AC9" w:rsidRDefault="008A0AC9" w:rsidP="008A0AC9">
            <w:pPr>
              <w:autoSpaceDE w:val="0"/>
              <w:autoSpaceDN w:val="0"/>
              <w:adjustRightInd w:val="0"/>
              <w:ind w:firstLine="540"/>
              <w:jc w:val="both"/>
              <w:rPr>
                <w:rFonts w:eastAsiaTheme="minorHAnsi"/>
                <w:lang w:eastAsia="en-US"/>
              </w:rPr>
            </w:pPr>
            <w:r w:rsidRPr="008A0AC9">
              <w:rPr>
                <w:rFonts w:eastAsiaTheme="minorHAnsi"/>
                <w:lang w:eastAsia="en-US"/>
              </w:rPr>
              <w:t>Закон вступает в силу со дня его официального опубликования, за исключением отдельных положений, для которых установлены иные сроки вступления их в силу.</w:t>
            </w:r>
          </w:p>
          <w:p w:rsidR="008A0AC9" w:rsidRPr="008A0AC9" w:rsidRDefault="008A0AC9" w:rsidP="008A0AC9">
            <w:pPr>
              <w:autoSpaceDE w:val="0"/>
              <w:autoSpaceDN w:val="0"/>
              <w:adjustRightInd w:val="0"/>
              <w:ind w:firstLine="540"/>
              <w:jc w:val="both"/>
              <w:rPr>
                <w:rFonts w:eastAsiaTheme="minorHAnsi"/>
                <w:b/>
                <w:bCs/>
                <w:lang w:eastAsia="en-US"/>
              </w:rPr>
            </w:pPr>
          </w:p>
        </w:tc>
        <w:tc>
          <w:tcPr>
            <w:tcW w:w="6700" w:type="dxa"/>
            <w:gridSpan w:val="2"/>
          </w:tcPr>
          <w:p w:rsidR="00A344B4" w:rsidRPr="00A344B4" w:rsidRDefault="00A344B4" w:rsidP="00A344B4">
            <w:pPr>
              <w:jc w:val="both"/>
              <w:rPr>
                <w:bCs/>
              </w:rPr>
            </w:pPr>
            <w:r w:rsidRPr="00A344B4">
              <w:rPr>
                <w:bCs/>
              </w:rPr>
              <w:lastRenderedPageBreak/>
              <w:t>Официальный интернет-портал правовой информации http://www.pravo.gov.ru, 14.07.2015,</w:t>
            </w:r>
          </w:p>
          <w:p w:rsidR="00A344B4" w:rsidRPr="00A344B4" w:rsidRDefault="00A344B4" w:rsidP="00A344B4">
            <w:pPr>
              <w:jc w:val="both"/>
              <w:rPr>
                <w:bCs/>
              </w:rPr>
            </w:pPr>
            <w:r w:rsidRPr="00A344B4">
              <w:rPr>
                <w:bCs/>
              </w:rPr>
              <w:t>"Российская газета", N 156, 17.07.2015,</w:t>
            </w:r>
          </w:p>
          <w:p w:rsidR="00A344B4" w:rsidRPr="00A344B4" w:rsidRDefault="00A344B4" w:rsidP="00A344B4">
            <w:pPr>
              <w:jc w:val="both"/>
              <w:rPr>
                <w:bCs/>
              </w:rPr>
            </w:pPr>
            <w:r w:rsidRPr="00A344B4">
              <w:rPr>
                <w:bCs/>
              </w:rPr>
              <w:t>"Собрание законодательства РФ", 20.07.2015, N 29 (часть I), ст. 4346</w:t>
            </w:r>
          </w:p>
          <w:p w:rsidR="00A344B4" w:rsidRPr="00A344B4" w:rsidRDefault="00A344B4" w:rsidP="00A344B4">
            <w:pPr>
              <w:jc w:val="both"/>
              <w:rPr>
                <w:bCs/>
              </w:rPr>
            </w:pPr>
            <w:r w:rsidRPr="00A344B4">
              <w:rPr>
                <w:bCs/>
              </w:rPr>
              <w:t>Начало действия документа - 14.07.2015 (за исключением отдельных положений).</w:t>
            </w:r>
          </w:p>
          <w:p w:rsidR="008A0AC9" w:rsidRPr="008A0AC9" w:rsidRDefault="008A0AC9" w:rsidP="00A344B4">
            <w:pPr>
              <w:jc w:val="both"/>
              <w:rPr>
                <w:bCs/>
              </w:rPr>
            </w:pPr>
          </w:p>
        </w:tc>
      </w:tr>
      <w:tr w:rsidR="00DE4D17" w:rsidTr="00660312">
        <w:tc>
          <w:tcPr>
            <w:tcW w:w="704" w:type="dxa"/>
          </w:tcPr>
          <w:p w:rsidR="00DE4D17" w:rsidRPr="00DE4D17" w:rsidRDefault="00DE4D17" w:rsidP="00A344B4">
            <w:pPr>
              <w:jc w:val="center"/>
              <w:rPr>
                <w:bCs/>
              </w:rPr>
            </w:pPr>
            <w:r w:rsidRPr="00DE4D17">
              <w:rPr>
                <w:bCs/>
              </w:rPr>
              <w:lastRenderedPageBreak/>
              <w:t>1</w:t>
            </w:r>
            <w:r w:rsidR="00A344B4">
              <w:rPr>
                <w:bCs/>
              </w:rPr>
              <w:t>3</w:t>
            </w:r>
            <w:r w:rsidRPr="00DE4D17">
              <w:rPr>
                <w:bCs/>
              </w:rPr>
              <w:t>.</w:t>
            </w:r>
          </w:p>
        </w:tc>
        <w:tc>
          <w:tcPr>
            <w:tcW w:w="3045" w:type="dxa"/>
            <w:gridSpan w:val="2"/>
          </w:tcPr>
          <w:p w:rsidR="0041106B" w:rsidRPr="0041106B" w:rsidRDefault="0041106B" w:rsidP="0041106B">
            <w:pPr>
              <w:jc w:val="center"/>
              <w:rPr>
                <w:bCs/>
              </w:rPr>
            </w:pPr>
            <w:r w:rsidRPr="0041106B">
              <w:rPr>
                <w:bCs/>
              </w:rPr>
              <w:t>&lt;Письмо&gt; Минкультуры России от 03.07.2015 N 231-01-39-НМ</w:t>
            </w:r>
          </w:p>
          <w:p w:rsidR="0041106B" w:rsidRPr="0041106B" w:rsidRDefault="0041106B" w:rsidP="0041106B">
            <w:pPr>
              <w:jc w:val="center"/>
              <w:rPr>
                <w:bCs/>
              </w:rPr>
            </w:pPr>
            <w:r w:rsidRPr="0041106B">
              <w:rPr>
                <w:bCs/>
              </w:rPr>
              <w:t xml:space="preserve">&lt;О направлении Методических рекомендаций 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w:t>
            </w:r>
            <w:r w:rsidRPr="0041106B">
              <w:rPr>
                <w:bCs/>
              </w:rPr>
              <w:lastRenderedPageBreak/>
              <w:t>других организациях музейного типа&gt;</w:t>
            </w:r>
          </w:p>
          <w:p w:rsidR="00DE4D17" w:rsidRPr="00461B56" w:rsidRDefault="00DE4D17" w:rsidP="00461B56">
            <w:pPr>
              <w:jc w:val="center"/>
              <w:rPr>
                <w:bCs/>
              </w:rPr>
            </w:pPr>
          </w:p>
        </w:tc>
        <w:tc>
          <w:tcPr>
            <w:tcW w:w="4290" w:type="dxa"/>
            <w:gridSpan w:val="3"/>
          </w:tcPr>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lastRenderedPageBreak/>
              <w:t>Минкультуры России подготовило рекомендации по введению нормирования труда в государственных и муниципальных учреждениях культуры</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 xml:space="preserve">Для повышения эффективности и качества предоставляемых услуг в сфере культуры приказами Минкультуры России от 30.12.2014 N 2477 и N 2478 были утверждены типовые отраслевые нормы труда для сотрудников государственных и муниципальных учреждений культуры (музеев, библиотек, зоопарков и т.п.). Данные нормы </w:t>
            </w:r>
            <w:r w:rsidRPr="009C6E34">
              <w:rPr>
                <w:rFonts w:eastAsiaTheme="minorHAnsi"/>
                <w:bCs/>
                <w:lang w:eastAsia="en-US"/>
              </w:rPr>
              <w:lastRenderedPageBreak/>
              <w:t>предназначены в том числе для формирования обоснованных оптимальных показателей трудоемкости выполнения работ в таких учреждениях и определения штатной численности их работников.</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Методические рекомендации по формированию штатной численности таких учреждений были утверждены приказом Минкультуры России от 30.12.2014 N 2479. В дополнение к ним данным письмом Минкультуры России направляет Методические рекомендации по введению в таких учреждениях нормирования труда.</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В соответствии с данным документом для выполнения работ, связанных с нормированием труда, в учреждениях рекомендуется создание специализированного структурного подразделения.</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Введение нормирования труда осуществляется в соответствии с Методическими рекомендациями по разработке систем нормирования труда в государственных (муниципальных) учреждениях (утв. приказом Минтруда России от 30.09.2013 N 504).</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 xml:space="preserve">Формализацию норм труда рекомендуется осуществлять в специальном Положении, которое с учетом мнения представительного органа работников </w:t>
            </w:r>
            <w:r w:rsidRPr="009C6E34">
              <w:rPr>
                <w:rFonts w:eastAsiaTheme="minorHAnsi"/>
                <w:bCs/>
                <w:lang w:eastAsia="en-US"/>
              </w:rPr>
              <w:lastRenderedPageBreak/>
              <w:t>либо утверждается локальным нормативным актом учреждения, либо включается в качестве отдельного раздела в коллективный договор.</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Нормы должны быть технически обоснованными, т.е. установленными аналитическим методом на основе комплексного обоснования величины затрат труда применительно к той технике и технологии, с использованием которых должна быть выполнена работа. При закупке нового оборудования учреждениям рекомендуется в конкурсной документации предусматривать обязанность поставщиков проводить сравнительный расчет влияния внедрения закупаемого оборудования на норму труда.</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Работник должен быть проинформирован о нормах труда при заключении трудового договора. О внедрении новых норм труда работники извещаются не позднее чем за два месяца до их введения в действие. Перед введением новых норм труда рекомендуется провести инструктаж и обучение работников наиболее эффективным приемам и методам выполнения работ.</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Пересмотр норм труда на уровне учреждений рекомендуется осуществлять через каждые 5 лет, а также при изменении организации труда, внедрении новой техники и технологии.</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lastRenderedPageBreak/>
              <w:t xml:space="preserve">При освоении новых видов работ (стандартов оказания </w:t>
            </w:r>
            <w:proofErr w:type="spellStart"/>
            <w:r w:rsidRPr="009C6E34">
              <w:rPr>
                <w:rFonts w:eastAsiaTheme="minorHAnsi"/>
                <w:bCs/>
                <w:lang w:eastAsia="en-US"/>
              </w:rPr>
              <w:t>госуслуг</w:t>
            </w:r>
            <w:proofErr w:type="spellEnd"/>
            <w:r w:rsidRPr="009C6E34">
              <w:rPr>
                <w:rFonts w:eastAsiaTheme="minorHAnsi"/>
                <w:bCs/>
                <w:lang w:eastAsia="en-US"/>
              </w:rPr>
              <w:t>) или несоответствии фактических организационно-технических условий выполнения работ, запроектированных во вновь вводимых нормах труда, рекомендуется применять поправочные коэффициенты.</w:t>
            </w:r>
          </w:p>
          <w:p w:rsidR="0041106B" w:rsidRPr="009C6E34" w:rsidRDefault="0041106B" w:rsidP="0041106B">
            <w:pPr>
              <w:autoSpaceDE w:val="0"/>
              <w:autoSpaceDN w:val="0"/>
              <w:adjustRightInd w:val="0"/>
              <w:ind w:firstLine="540"/>
              <w:jc w:val="both"/>
              <w:rPr>
                <w:rFonts w:eastAsiaTheme="minorHAnsi"/>
                <w:bCs/>
                <w:lang w:eastAsia="en-US"/>
              </w:rPr>
            </w:pPr>
            <w:r w:rsidRPr="009C6E34">
              <w:rPr>
                <w:rFonts w:eastAsiaTheme="minorHAnsi"/>
                <w:bCs/>
                <w:lang w:eastAsia="en-US"/>
              </w:rPr>
              <w:t>Положения данных Методических рекомендаций также касаются особенностей введения типовых отраслевых норм труда в библиотеках, фильмофондах, зоопарках, музеях и других организациях музейного типа.</w:t>
            </w:r>
          </w:p>
          <w:p w:rsidR="00DE4D17" w:rsidRPr="009C6E34" w:rsidRDefault="00DE4D17" w:rsidP="00461B56">
            <w:pPr>
              <w:autoSpaceDE w:val="0"/>
              <w:autoSpaceDN w:val="0"/>
              <w:adjustRightInd w:val="0"/>
              <w:ind w:firstLine="540"/>
              <w:jc w:val="both"/>
              <w:rPr>
                <w:rFonts w:eastAsiaTheme="minorHAnsi"/>
                <w:bCs/>
                <w:lang w:eastAsia="en-US"/>
              </w:rPr>
            </w:pPr>
          </w:p>
        </w:tc>
        <w:tc>
          <w:tcPr>
            <w:tcW w:w="6700" w:type="dxa"/>
            <w:gridSpan w:val="2"/>
          </w:tcPr>
          <w:p w:rsidR="00DE4D17" w:rsidRPr="00461B56" w:rsidRDefault="0041106B" w:rsidP="00461B56">
            <w:pPr>
              <w:jc w:val="both"/>
              <w:rPr>
                <w:bCs/>
              </w:rPr>
            </w:pPr>
            <w:r w:rsidRPr="0041106B">
              <w:rPr>
                <w:bCs/>
              </w:rPr>
              <w:lastRenderedPageBreak/>
              <w:t>Документ опубликован не был</w:t>
            </w:r>
          </w:p>
        </w:tc>
      </w:tr>
      <w:tr w:rsidR="008A0AC9" w:rsidTr="00660312">
        <w:tc>
          <w:tcPr>
            <w:tcW w:w="704" w:type="dxa"/>
          </w:tcPr>
          <w:p w:rsidR="008A0AC9" w:rsidRPr="00DE4D17" w:rsidRDefault="008A0AC9" w:rsidP="00A344B4">
            <w:pPr>
              <w:jc w:val="center"/>
              <w:rPr>
                <w:bCs/>
              </w:rPr>
            </w:pPr>
            <w:r>
              <w:rPr>
                <w:bCs/>
              </w:rPr>
              <w:lastRenderedPageBreak/>
              <w:t>1</w:t>
            </w:r>
            <w:r w:rsidR="00A344B4">
              <w:rPr>
                <w:bCs/>
              </w:rPr>
              <w:t>4</w:t>
            </w:r>
            <w:bookmarkStart w:id="0" w:name="_GoBack"/>
            <w:bookmarkEnd w:id="0"/>
            <w:r>
              <w:rPr>
                <w:bCs/>
              </w:rPr>
              <w:t xml:space="preserve">. </w:t>
            </w:r>
          </w:p>
        </w:tc>
        <w:tc>
          <w:tcPr>
            <w:tcW w:w="3045" w:type="dxa"/>
            <w:gridSpan w:val="2"/>
          </w:tcPr>
          <w:p w:rsidR="008A0AC9" w:rsidRPr="008A0AC9" w:rsidRDefault="008A0AC9" w:rsidP="008A0AC9">
            <w:pPr>
              <w:jc w:val="center"/>
              <w:rPr>
                <w:bCs/>
              </w:rPr>
            </w:pPr>
            <w:r w:rsidRPr="008A0AC9">
              <w:rPr>
                <w:bCs/>
              </w:rPr>
              <w:t>&lt;Письмо&gt; Минфина России N 02-06-07/43871, Казначейства России N 07-04-05/02-495 от 29.07.2015</w:t>
            </w:r>
          </w:p>
          <w:p w:rsidR="008A0AC9" w:rsidRPr="008A0AC9" w:rsidRDefault="008A0AC9" w:rsidP="008A0AC9">
            <w:pPr>
              <w:jc w:val="center"/>
              <w:rPr>
                <w:bCs/>
              </w:rPr>
            </w:pPr>
            <w:r w:rsidRPr="008A0AC9">
              <w:rPr>
                <w:bCs/>
              </w:rPr>
              <w:t>"О составе отчетности об исполнении бюджетов бюджетной системы Российской Федерации за 2015 год"</w:t>
            </w:r>
          </w:p>
          <w:p w:rsidR="008A0AC9" w:rsidRPr="0041106B" w:rsidRDefault="008A0AC9" w:rsidP="0041106B">
            <w:pPr>
              <w:jc w:val="center"/>
              <w:rPr>
                <w:bCs/>
              </w:rPr>
            </w:pPr>
          </w:p>
        </w:tc>
        <w:tc>
          <w:tcPr>
            <w:tcW w:w="4290" w:type="dxa"/>
            <w:gridSpan w:val="3"/>
          </w:tcPr>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
                <w:bCs/>
                <w:lang w:eastAsia="en-US"/>
              </w:rPr>
              <w:t>Сообщено об изменениях в составе представляемой консолидированной бюджетной отчетности</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Начиная с отчетности на 1 октября 2015 года финансовыми органами субъектов РФ в составе отчетности, представляемой в Федеральное казначейство, дополнительно представляется сводный Отчет об исполнении бюджета (ф. 0503117) раздельно по показателям исполнения бюджетов, включаемых в состав консолидированного бюджета субъекта РФ.</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Финансовые органы местных бюджетов формируют и представляют в финансовый орган субъекта РФ дополнительно следующие формы:</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lastRenderedPageBreak/>
              <w:t>финансовые органы муниципальных районов - Отчет ф. 0503117(СВ) обособленно по городским поселениям, по сельским поселениям, входящим в консолидированный бюджет муниципального района;</w:t>
            </w:r>
          </w:p>
          <w:p w:rsidR="008A0AC9" w:rsidRPr="008A0AC9" w:rsidRDefault="008A0AC9" w:rsidP="008A0AC9">
            <w:pPr>
              <w:autoSpaceDE w:val="0"/>
              <w:autoSpaceDN w:val="0"/>
              <w:adjustRightInd w:val="0"/>
              <w:ind w:firstLine="540"/>
              <w:jc w:val="both"/>
              <w:rPr>
                <w:rFonts w:eastAsiaTheme="minorHAnsi"/>
                <w:bCs/>
                <w:lang w:eastAsia="en-US"/>
              </w:rPr>
            </w:pPr>
            <w:r w:rsidRPr="008A0AC9">
              <w:rPr>
                <w:rFonts w:eastAsiaTheme="minorHAnsi"/>
                <w:bCs/>
                <w:lang w:eastAsia="en-US"/>
              </w:rPr>
              <w:t>финансовые органы городских округов с внутригородским делением - Отчет (ф. 0503117) по городскому округу с внутригородским делением и Отчет ф. 0503117(СВ) по внутригородским районам, входящим в консолидированный бюджет городского округа с внутригородским делением.</w:t>
            </w:r>
          </w:p>
          <w:p w:rsidR="008A0AC9" w:rsidRPr="009C6E34" w:rsidRDefault="008A0AC9" w:rsidP="0041106B">
            <w:pPr>
              <w:autoSpaceDE w:val="0"/>
              <w:autoSpaceDN w:val="0"/>
              <w:adjustRightInd w:val="0"/>
              <w:ind w:firstLine="540"/>
              <w:jc w:val="both"/>
              <w:rPr>
                <w:rFonts w:eastAsiaTheme="minorHAnsi"/>
                <w:bCs/>
                <w:lang w:eastAsia="en-US"/>
              </w:rPr>
            </w:pPr>
          </w:p>
        </w:tc>
        <w:tc>
          <w:tcPr>
            <w:tcW w:w="6700" w:type="dxa"/>
            <w:gridSpan w:val="2"/>
          </w:tcPr>
          <w:p w:rsidR="008A0AC9" w:rsidRPr="008A0AC9" w:rsidRDefault="008A0AC9" w:rsidP="008A0AC9">
            <w:pPr>
              <w:jc w:val="both"/>
              <w:rPr>
                <w:bCs/>
              </w:rPr>
            </w:pPr>
            <w:r w:rsidRPr="008A0AC9">
              <w:rPr>
                <w:bCs/>
              </w:rPr>
              <w:lastRenderedPageBreak/>
              <w:t>Документ опубликован не был</w:t>
            </w:r>
          </w:p>
          <w:p w:rsidR="008A0AC9" w:rsidRPr="0041106B" w:rsidRDefault="008A0AC9" w:rsidP="00461B56">
            <w:pPr>
              <w:jc w:val="both"/>
              <w:rPr>
                <w:bCs/>
              </w:rPr>
            </w:pPr>
          </w:p>
        </w:tc>
      </w:tr>
      <w:tr w:rsidR="006E3925" w:rsidTr="00660312">
        <w:tc>
          <w:tcPr>
            <w:tcW w:w="704" w:type="dxa"/>
          </w:tcPr>
          <w:p w:rsidR="006E3925" w:rsidRDefault="006E3925" w:rsidP="00AE400B">
            <w:pPr>
              <w:ind w:left="-10"/>
              <w:jc w:val="center"/>
              <w:rPr>
                <w:b/>
              </w:rPr>
            </w:pPr>
          </w:p>
          <w:p w:rsidR="006E3925" w:rsidRDefault="006E3925" w:rsidP="00AE400B"/>
        </w:tc>
        <w:tc>
          <w:tcPr>
            <w:tcW w:w="14035" w:type="dxa"/>
            <w:gridSpan w:val="7"/>
          </w:tcPr>
          <w:p w:rsidR="006E3925" w:rsidRPr="00097065" w:rsidRDefault="006E3925" w:rsidP="006E3925">
            <w:pPr>
              <w:ind w:left="-10"/>
              <w:jc w:val="center"/>
              <w:rPr>
                <w:b/>
              </w:rPr>
            </w:pPr>
            <w:r w:rsidRPr="00097065">
              <w:rPr>
                <w:b/>
              </w:rPr>
              <w:t>ОБЛАСТНОЕ ЗАКОНОДАТЕЛЬСТВО</w:t>
            </w:r>
          </w:p>
          <w:p w:rsidR="006E3925" w:rsidRDefault="006E3925" w:rsidP="00AE400B"/>
        </w:tc>
      </w:tr>
      <w:tr w:rsidR="006E3925" w:rsidTr="00660312">
        <w:tc>
          <w:tcPr>
            <w:tcW w:w="704" w:type="dxa"/>
          </w:tcPr>
          <w:p w:rsidR="006E3925" w:rsidRPr="008F5DA8" w:rsidRDefault="008F5DA8" w:rsidP="00AE400B">
            <w:pPr>
              <w:ind w:left="-10"/>
              <w:jc w:val="center"/>
            </w:pPr>
            <w:r w:rsidRPr="008F5DA8">
              <w:t>1.</w:t>
            </w:r>
          </w:p>
        </w:tc>
        <w:tc>
          <w:tcPr>
            <w:tcW w:w="3015" w:type="dxa"/>
          </w:tcPr>
          <w:p w:rsidR="004A5756" w:rsidRPr="004A5756" w:rsidRDefault="004A5756" w:rsidP="004A5756">
            <w:pPr>
              <w:ind w:left="-10"/>
              <w:jc w:val="both"/>
            </w:pPr>
            <w:r w:rsidRPr="004A5756">
              <w:t>Закон</w:t>
            </w:r>
            <w:r w:rsidRPr="004A5756">
              <w:rPr>
                <w:bCs/>
              </w:rPr>
              <w:t xml:space="preserve"> Иркутской области от 14 июля 2015 г. N 70-ОЗ "О внесении изменений в Закон Иркутской области "Об организации проведения капитального ремонта общего имущества в многоквартирных домах на территории Иркутской области"</w:t>
            </w:r>
          </w:p>
          <w:p w:rsidR="006E3925" w:rsidRPr="00097065" w:rsidRDefault="006E3925" w:rsidP="006E3925">
            <w:pPr>
              <w:ind w:left="-10"/>
              <w:jc w:val="center"/>
              <w:rPr>
                <w:b/>
              </w:rPr>
            </w:pPr>
          </w:p>
        </w:tc>
        <w:tc>
          <w:tcPr>
            <w:tcW w:w="4350" w:type="dxa"/>
            <w:gridSpan w:val="5"/>
          </w:tcPr>
          <w:p w:rsidR="004A5756" w:rsidRPr="004A5756" w:rsidRDefault="004A5756" w:rsidP="004A5756">
            <w:pPr>
              <w:ind w:left="-10"/>
              <w:jc w:val="both"/>
              <w:rPr>
                <w:b/>
              </w:rPr>
            </w:pPr>
            <w:r w:rsidRPr="004A5756">
              <w:rPr>
                <w:b/>
                <w:bCs/>
              </w:rPr>
              <w:t>Уточнен порядок организации проведения капитального ремонта общего имущества в многоквартирных домах.</w:t>
            </w:r>
          </w:p>
          <w:p w:rsidR="004A5756" w:rsidRPr="004A5756" w:rsidRDefault="004A5756" w:rsidP="004A5756">
            <w:pPr>
              <w:ind w:left="-10"/>
              <w:jc w:val="both"/>
            </w:pPr>
            <w:r w:rsidRPr="004A5756">
              <w:t xml:space="preserve">Установлено, что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за счет средств областного бюджета региональный оператор области ежегодно подготавливает </w:t>
            </w:r>
            <w:r w:rsidRPr="004A5756">
              <w:lastRenderedPageBreak/>
              <w:t>проект краткосрочного плана реализации региональной программы капитального ремонта на следующий календарный год и представляет его в орган жилищной политики не позднее 1 сентября текущего года. Ранее было установлено, что указанный проект должен быть представлен не позднее 1 июня текущего года.</w:t>
            </w:r>
          </w:p>
          <w:p w:rsidR="004A5756" w:rsidRPr="004A5756" w:rsidRDefault="004A5756" w:rsidP="004A5756">
            <w:pPr>
              <w:ind w:left="-10"/>
              <w:jc w:val="both"/>
            </w:pPr>
            <w:r w:rsidRPr="004A5756">
              <w:t xml:space="preserve">Региональный оператор вправе заключить с управляющей организацией, товариществом собственников жилья, жилищным кооперативом, иным специализированным потребительским кооперативом, юридическим лицом или индивидуальным предпринимателем, которым в соответствии с </w:t>
            </w:r>
            <w:r w:rsidRPr="008F5DA8">
              <w:t>Жилищным кодексом</w:t>
            </w:r>
            <w:r w:rsidRPr="004A5756">
              <w:t xml:space="preserve"> РФ вносится плата за жилое помещение и коммунальные услуги, договор о включении размера взноса на капитальный ремонт в платежный документ для внесения платы за содержание и ремонт жилого помещения и предоставление коммунальных услуг.</w:t>
            </w:r>
          </w:p>
          <w:p w:rsidR="004A5756" w:rsidRPr="004A5756" w:rsidRDefault="004A5756" w:rsidP="004A5756">
            <w:pPr>
              <w:ind w:left="-10"/>
              <w:jc w:val="both"/>
            </w:pPr>
            <w:r w:rsidRPr="004A5756">
              <w:t>Закон вступает в силу через 10 календарных дней после дня его официального опубликования.</w:t>
            </w:r>
          </w:p>
          <w:p w:rsidR="006E3925" w:rsidRPr="00097065" w:rsidRDefault="006E3925" w:rsidP="004A5756">
            <w:pPr>
              <w:ind w:left="-10"/>
              <w:jc w:val="both"/>
              <w:rPr>
                <w:b/>
              </w:rPr>
            </w:pPr>
          </w:p>
        </w:tc>
        <w:tc>
          <w:tcPr>
            <w:tcW w:w="6670" w:type="dxa"/>
          </w:tcPr>
          <w:p w:rsidR="008F5DA8" w:rsidRPr="008F5DA8" w:rsidRDefault="008F5DA8" w:rsidP="008F5DA8">
            <w:pPr>
              <w:ind w:left="-10"/>
              <w:jc w:val="both"/>
            </w:pPr>
            <w:r w:rsidRPr="008F5DA8">
              <w:lastRenderedPageBreak/>
              <w:t>Настоящий Закон вступает в силу через 10 дней после дня его официального опубликования</w:t>
            </w:r>
          </w:p>
          <w:p w:rsidR="008F5DA8" w:rsidRPr="008F5DA8" w:rsidRDefault="008F5DA8" w:rsidP="008F5DA8">
            <w:pPr>
              <w:ind w:left="-10"/>
              <w:jc w:val="both"/>
            </w:pPr>
          </w:p>
          <w:p w:rsidR="008F5DA8" w:rsidRPr="008F5DA8" w:rsidRDefault="008F5DA8" w:rsidP="008F5DA8">
            <w:pPr>
              <w:ind w:left="-10"/>
              <w:jc w:val="both"/>
            </w:pPr>
            <w:r w:rsidRPr="008F5DA8">
              <w:t>Текст Закона опубликован на "Официальном интернет-портале правовой информации" (http://publication.pravo.gov.ru/SignatoryAuthority/region38) 15 июля 2015 г., в газете "Областная" от 20 июля 2015 г. N 79(1395)</w:t>
            </w:r>
          </w:p>
          <w:p w:rsidR="008F5DA8" w:rsidRPr="008F5DA8" w:rsidRDefault="008F5DA8" w:rsidP="008F5DA8">
            <w:pPr>
              <w:ind w:left="-10"/>
              <w:jc w:val="both"/>
              <w:rPr>
                <w:b/>
              </w:rPr>
            </w:pPr>
          </w:p>
          <w:p w:rsidR="006E3925" w:rsidRPr="00097065" w:rsidRDefault="006E3925" w:rsidP="008F5DA8">
            <w:pPr>
              <w:ind w:left="-10"/>
              <w:jc w:val="both"/>
              <w:rPr>
                <w:b/>
              </w:rPr>
            </w:pPr>
          </w:p>
        </w:tc>
      </w:tr>
      <w:tr w:rsidR="006E3925" w:rsidTr="00660312">
        <w:tc>
          <w:tcPr>
            <w:tcW w:w="704" w:type="dxa"/>
          </w:tcPr>
          <w:p w:rsidR="006E3925" w:rsidRPr="008F5DA8" w:rsidRDefault="008F5DA8" w:rsidP="00AE400B">
            <w:pPr>
              <w:ind w:left="-10"/>
              <w:jc w:val="center"/>
            </w:pPr>
            <w:r w:rsidRPr="008F5DA8">
              <w:lastRenderedPageBreak/>
              <w:t>2.</w:t>
            </w:r>
          </w:p>
        </w:tc>
        <w:tc>
          <w:tcPr>
            <w:tcW w:w="3015" w:type="dxa"/>
          </w:tcPr>
          <w:p w:rsidR="008F5DA8" w:rsidRPr="008F5DA8" w:rsidRDefault="008F5DA8" w:rsidP="008F5DA8">
            <w:pPr>
              <w:ind w:left="-10"/>
              <w:jc w:val="both"/>
            </w:pPr>
            <w:r w:rsidRPr="008F5DA8">
              <w:t>Закон</w:t>
            </w:r>
            <w:r w:rsidRPr="008F5DA8">
              <w:rPr>
                <w:bCs/>
              </w:rPr>
              <w:t xml:space="preserve"> Иркутской области от 7 июля 2015 г. N 59-ОЗ "О внесении изменений в Закон Иркутской области </w:t>
            </w:r>
            <w:r w:rsidRPr="008F5DA8">
              <w:rPr>
                <w:bCs/>
              </w:rPr>
              <w:lastRenderedPageBreak/>
              <w:t>"О наградах Иркутской области и почетных званиях Иркутской области"</w:t>
            </w:r>
          </w:p>
          <w:p w:rsidR="008F5DA8" w:rsidRPr="008F5DA8" w:rsidRDefault="008F5DA8" w:rsidP="008F5DA8">
            <w:pPr>
              <w:ind w:left="-10"/>
              <w:jc w:val="center"/>
              <w:rPr>
                <w:b/>
              </w:rPr>
            </w:pPr>
          </w:p>
          <w:p w:rsidR="006E3925" w:rsidRPr="00097065" w:rsidRDefault="006E3925" w:rsidP="006E3925">
            <w:pPr>
              <w:ind w:left="-10"/>
              <w:jc w:val="center"/>
              <w:rPr>
                <w:b/>
              </w:rPr>
            </w:pPr>
          </w:p>
        </w:tc>
        <w:tc>
          <w:tcPr>
            <w:tcW w:w="4350" w:type="dxa"/>
            <w:gridSpan w:val="5"/>
          </w:tcPr>
          <w:p w:rsidR="008F5DA8" w:rsidRPr="008F5DA8" w:rsidRDefault="008F5DA8" w:rsidP="008F5DA8">
            <w:pPr>
              <w:ind w:left="-10"/>
              <w:jc w:val="both"/>
              <w:rPr>
                <w:b/>
              </w:rPr>
            </w:pPr>
            <w:r w:rsidRPr="008F5DA8">
              <w:rPr>
                <w:b/>
                <w:bCs/>
              </w:rPr>
              <w:lastRenderedPageBreak/>
              <w:t>Уточнен порядок представления документов для награждения и присвоения почетного звания Иркутской области.</w:t>
            </w:r>
          </w:p>
          <w:p w:rsidR="008F5DA8" w:rsidRPr="008F5DA8" w:rsidRDefault="008F5DA8" w:rsidP="008F5DA8">
            <w:pPr>
              <w:ind w:left="-10"/>
              <w:jc w:val="both"/>
            </w:pPr>
            <w:r w:rsidRPr="008F5DA8">
              <w:lastRenderedPageBreak/>
              <w:t>Установлено, что в случае обнаружения ошибок в наградных материалах либо неполноты представленных документов подразделение по вопросам государственной гражданской службы и кадров аппарата Губернатора Иркутской области и Правительства Иркутской области не позднее пяти календарных дней со дня поступления наградных материалов возвращает наградные материалы с указанием выявленных нарушений для их устранения организацией (органом), возбудившей (возбудившим) ходатайство о награждении и (или) присвоении почетного звания Иркутской области.</w:t>
            </w:r>
          </w:p>
          <w:p w:rsidR="008F5DA8" w:rsidRPr="008F5DA8" w:rsidRDefault="008F5DA8" w:rsidP="008F5DA8">
            <w:pPr>
              <w:ind w:left="-10"/>
              <w:jc w:val="both"/>
            </w:pPr>
            <w:r w:rsidRPr="008F5DA8">
              <w:t>Подразделение по вопросам государственной гражданской службы и кадров аппарата Губернатора Иркутской области и Правительства Иркутской области не позднее пяти календарных дней со дня поступления надлежаще оформленных наградных материалов передает наградные материалы в исполнительные органы государственной власти Иркутской области или самостоятельные структурные подразделения аппарата Губернатора Иркутской области и Правительства Иркутской области по вопросам их ведения для подготовки заключения о согласии (несогласии) с представлением к награждению и (или) присвоению почетного звания Иркутской области.</w:t>
            </w:r>
          </w:p>
          <w:p w:rsidR="008F5DA8" w:rsidRPr="008F5DA8" w:rsidRDefault="008F5DA8" w:rsidP="008F5DA8">
            <w:pPr>
              <w:ind w:left="-10"/>
              <w:jc w:val="both"/>
            </w:pPr>
            <w:r w:rsidRPr="008F5DA8">
              <w:lastRenderedPageBreak/>
              <w:t>Закон вступает в силу после дня его официального опубликования.</w:t>
            </w:r>
          </w:p>
          <w:p w:rsidR="008F5DA8" w:rsidRPr="008F5DA8" w:rsidRDefault="008F5DA8" w:rsidP="008F5DA8">
            <w:pPr>
              <w:ind w:left="-10"/>
              <w:jc w:val="both"/>
              <w:rPr>
                <w:b/>
              </w:rPr>
            </w:pPr>
          </w:p>
          <w:p w:rsidR="006E3925" w:rsidRPr="00097065" w:rsidRDefault="006E3925" w:rsidP="008F5DA8">
            <w:pPr>
              <w:ind w:left="-10"/>
              <w:jc w:val="both"/>
              <w:rPr>
                <w:b/>
              </w:rPr>
            </w:pPr>
          </w:p>
        </w:tc>
        <w:tc>
          <w:tcPr>
            <w:tcW w:w="6670" w:type="dxa"/>
          </w:tcPr>
          <w:p w:rsidR="008F5DA8" w:rsidRPr="008F5DA8" w:rsidRDefault="008F5DA8" w:rsidP="008F5DA8">
            <w:pPr>
              <w:ind w:left="-10"/>
              <w:jc w:val="both"/>
            </w:pPr>
            <w:r w:rsidRPr="008F5DA8">
              <w:lastRenderedPageBreak/>
              <w:t>Настоящий Закон вступает в силу после дня его официального опубликования</w:t>
            </w:r>
          </w:p>
          <w:p w:rsidR="008F5DA8" w:rsidRPr="008F5DA8" w:rsidRDefault="008F5DA8" w:rsidP="008F5DA8">
            <w:pPr>
              <w:ind w:left="-10"/>
              <w:jc w:val="both"/>
            </w:pPr>
          </w:p>
          <w:p w:rsidR="008F5DA8" w:rsidRDefault="008F5DA8" w:rsidP="008F5DA8">
            <w:pPr>
              <w:ind w:left="-10"/>
              <w:jc w:val="both"/>
            </w:pPr>
            <w:r w:rsidRPr="008F5DA8">
              <w:t>Текст Закона опубликован на "Официальном интерн</w:t>
            </w:r>
            <w:r>
              <w:t>ет-портале правовой информации"</w:t>
            </w:r>
          </w:p>
          <w:p w:rsidR="008F5DA8" w:rsidRPr="008F5DA8" w:rsidRDefault="008F5DA8" w:rsidP="008F5DA8">
            <w:pPr>
              <w:ind w:left="-10"/>
              <w:jc w:val="both"/>
            </w:pPr>
            <w:r w:rsidRPr="008F5DA8">
              <w:lastRenderedPageBreak/>
              <w:t>(http://publication.pravo.gov.ru/SignatoryAuthority/region38) 8 июля 2015 г., в газете "Областная" от 15 июля 2015 г. N 77(1393)</w:t>
            </w:r>
          </w:p>
          <w:p w:rsidR="008F5DA8" w:rsidRPr="008F5DA8" w:rsidRDefault="008F5DA8" w:rsidP="008F5DA8">
            <w:pPr>
              <w:ind w:left="-10"/>
              <w:jc w:val="both"/>
              <w:rPr>
                <w:b/>
              </w:rPr>
            </w:pPr>
          </w:p>
          <w:p w:rsidR="008F5DA8" w:rsidRPr="008F5DA8" w:rsidRDefault="008F5DA8" w:rsidP="008F5DA8">
            <w:pPr>
              <w:ind w:left="-10"/>
              <w:jc w:val="both"/>
              <w:rPr>
                <w:b/>
              </w:rPr>
            </w:pPr>
          </w:p>
          <w:p w:rsidR="006E3925" w:rsidRPr="00097065" w:rsidRDefault="006E3925" w:rsidP="008F5DA8">
            <w:pPr>
              <w:ind w:left="-10"/>
              <w:jc w:val="both"/>
              <w:rPr>
                <w:b/>
              </w:rPr>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AE" w:rsidRDefault="000760AE" w:rsidP="005A483A">
      <w:r>
        <w:separator/>
      </w:r>
    </w:p>
  </w:endnote>
  <w:endnote w:type="continuationSeparator" w:id="0">
    <w:p w:rsidR="000760AE" w:rsidRDefault="000760AE"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AE" w:rsidRDefault="000760AE" w:rsidP="005A483A">
      <w:r>
        <w:separator/>
      </w:r>
    </w:p>
  </w:footnote>
  <w:footnote w:type="continuationSeparator" w:id="0">
    <w:p w:rsidR="000760AE" w:rsidRDefault="000760AE"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760AE"/>
    <w:rsid w:val="00094E8C"/>
    <w:rsid w:val="00097065"/>
    <w:rsid w:val="000B7527"/>
    <w:rsid w:val="000E2071"/>
    <w:rsid w:val="000F6AE1"/>
    <w:rsid w:val="001031DF"/>
    <w:rsid w:val="00104396"/>
    <w:rsid w:val="001112BE"/>
    <w:rsid w:val="00117818"/>
    <w:rsid w:val="00124CCA"/>
    <w:rsid w:val="00133E39"/>
    <w:rsid w:val="00135750"/>
    <w:rsid w:val="001439F0"/>
    <w:rsid w:val="00143ACD"/>
    <w:rsid w:val="00166B8C"/>
    <w:rsid w:val="001969E0"/>
    <w:rsid w:val="00197745"/>
    <w:rsid w:val="001A0285"/>
    <w:rsid w:val="001A047C"/>
    <w:rsid w:val="001A4C4B"/>
    <w:rsid w:val="001C04E7"/>
    <w:rsid w:val="001C7D47"/>
    <w:rsid w:val="001E3030"/>
    <w:rsid w:val="001F3C83"/>
    <w:rsid w:val="001F6E3E"/>
    <w:rsid w:val="001F785B"/>
    <w:rsid w:val="0020311D"/>
    <w:rsid w:val="00203B81"/>
    <w:rsid w:val="00210743"/>
    <w:rsid w:val="0021085A"/>
    <w:rsid w:val="002478E5"/>
    <w:rsid w:val="002566A6"/>
    <w:rsid w:val="002A01BE"/>
    <w:rsid w:val="002C618F"/>
    <w:rsid w:val="002D44E4"/>
    <w:rsid w:val="002D791E"/>
    <w:rsid w:val="002D7AE7"/>
    <w:rsid w:val="002E1827"/>
    <w:rsid w:val="002F309F"/>
    <w:rsid w:val="002F321C"/>
    <w:rsid w:val="002F677F"/>
    <w:rsid w:val="0030097A"/>
    <w:rsid w:val="00340593"/>
    <w:rsid w:val="00342360"/>
    <w:rsid w:val="003509A7"/>
    <w:rsid w:val="00352FAA"/>
    <w:rsid w:val="003739F7"/>
    <w:rsid w:val="00375718"/>
    <w:rsid w:val="00375F64"/>
    <w:rsid w:val="003763F0"/>
    <w:rsid w:val="00377F11"/>
    <w:rsid w:val="003808EB"/>
    <w:rsid w:val="00394C2D"/>
    <w:rsid w:val="00394DC3"/>
    <w:rsid w:val="003A0547"/>
    <w:rsid w:val="003B4DBA"/>
    <w:rsid w:val="003B6DD6"/>
    <w:rsid w:val="003C2267"/>
    <w:rsid w:val="003C4BAC"/>
    <w:rsid w:val="003D0141"/>
    <w:rsid w:val="003D541D"/>
    <w:rsid w:val="003E2093"/>
    <w:rsid w:val="003E35B3"/>
    <w:rsid w:val="003E6161"/>
    <w:rsid w:val="003F5953"/>
    <w:rsid w:val="003F6CED"/>
    <w:rsid w:val="003F6D7F"/>
    <w:rsid w:val="00400083"/>
    <w:rsid w:val="004022B3"/>
    <w:rsid w:val="0041106B"/>
    <w:rsid w:val="00426DB1"/>
    <w:rsid w:val="00427AAD"/>
    <w:rsid w:val="004464E0"/>
    <w:rsid w:val="00460C4A"/>
    <w:rsid w:val="00461B56"/>
    <w:rsid w:val="00471EAE"/>
    <w:rsid w:val="00491FBE"/>
    <w:rsid w:val="004928D9"/>
    <w:rsid w:val="00496B9C"/>
    <w:rsid w:val="00497911"/>
    <w:rsid w:val="004A5756"/>
    <w:rsid w:val="004A6B73"/>
    <w:rsid w:val="004B16A2"/>
    <w:rsid w:val="004B56FE"/>
    <w:rsid w:val="004D3EF2"/>
    <w:rsid w:val="004D5165"/>
    <w:rsid w:val="00503032"/>
    <w:rsid w:val="00503396"/>
    <w:rsid w:val="00507C77"/>
    <w:rsid w:val="00523953"/>
    <w:rsid w:val="00525EED"/>
    <w:rsid w:val="00531696"/>
    <w:rsid w:val="00533B8E"/>
    <w:rsid w:val="00542430"/>
    <w:rsid w:val="00545E8E"/>
    <w:rsid w:val="00550530"/>
    <w:rsid w:val="005640AD"/>
    <w:rsid w:val="005927E5"/>
    <w:rsid w:val="005936EC"/>
    <w:rsid w:val="005A078A"/>
    <w:rsid w:val="005A483A"/>
    <w:rsid w:val="005C5D29"/>
    <w:rsid w:val="005D7FB5"/>
    <w:rsid w:val="005E7B5C"/>
    <w:rsid w:val="005F0D9B"/>
    <w:rsid w:val="00607E44"/>
    <w:rsid w:val="00611039"/>
    <w:rsid w:val="00614B2D"/>
    <w:rsid w:val="00622121"/>
    <w:rsid w:val="00626C04"/>
    <w:rsid w:val="00637E51"/>
    <w:rsid w:val="00651AFD"/>
    <w:rsid w:val="006566C0"/>
    <w:rsid w:val="00660312"/>
    <w:rsid w:val="006633A2"/>
    <w:rsid w:val="00665672"/>
    <w:rsid w:val="006678FA"/>
    <w:rsid w:val="00685961"/>
    <w:rsid w:val="006A66F4"/>
    <w:rsid w:val="006B3E28"/>
    <w:rsid w:val="006B550D"/>
    <w:rsid w:val="006C16F9"/>
    <w:rsid w:val="006D0543"/>
    <w:rsid w:val="006E0AC8"/>
    <w:rsid w:val="006E1414"/>
    <w:rsid w:val="006E3925"/>
    <w:rsid w:val="006E66BA"/>
    <w:rsid w:val="006F0A17"/>
    <w:rsid w:val="006F4843"/>
    <w:rsid w:val="007149C7"/>
    <w:rsid w:val="00720121"/>
    <w:rsid w:val="0074053E"/>
    <w:rsid w:val="00743C99"/>
    <w:rsid w:val="00746BDA"/>
    <w:rsid w:val="00752DD4"/>
    <w:rsid w:val="00755130"/>
    <w:rsid w:val="0075580A"/>
    <w:rsid w:val="00760F0D"/>
    <w:rsid w:val="00771C9D"/>
    <w:rsid w:val="00780DA0"/>
    <w:rsid w:val="00781A4F"/>
    <w:rsid w:val="007B39B7"/>
    <w:rsid w:val="007C6477"/>
    <w:rsid w:val="007D22B6"/>
    <w:rsid w:val="007D27EC"/>
    <w:rsid w:val="007F1411"/>
    <w:rsid w:val="007F63AF"/>
    <w:rsid w:val="00803442"/>
    <w:rsid w:val="0081248A"/>
    <w:rsid w:val="00813ADF"/>
    <w:rsid w:val="00814743"/>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A0AC9"/>
    <w:rsid w:val="008A38D6"/>
    <w:rsid w:val="008A4F7B"/>
    <w:rsid w:val="008B54A5"/>
    <w:rsid w:val="008B68B2"/>
    <w:rsid w:val="008D4291"/>
    <w:rsid w:val="008E0F42"/>
    <w:rsid w:val="008F3386"/>
    <w:rsid w:val="008F5DA8"/>
    <w:rsid w:val="008F6FD6"/>
    <w:rsid w:val="008F75CA"/>
    <w:rsid w:val="00916CA8"/>
    <w:rsid w:val="009506B9"/>
    <w:rsid w:val="00951BE8"/>
    <w:rsid w:val="0095377C"/>
    <w:rsid w:val="00965138"/>
    <w:rsid w:val="0097209D"/>
    <w:rsid w:val="00976659"/>
    <w:rsid w:val="00977FE6"/>
    <w:rsid w:val="009853CF"/>
    <w:rsid w:val="00990462"/>
    <w:rsid w:val="00994064"/>
    <w:rsid w:val="00994708"/>
    <w:rsid w:val="009B3724"/>
    <w:rsid w:val="009B5FDC"/>
    <w:rsid w:val="009C1068"/>
    <w:rsid w:val="009C6E34"/>
    <w:rsid w:val="009D7790"/>
    <w:rsid w:val="009E072C"/>
    <w:rsid w:val="009E1323"/>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D0BED"/>
    <w:rsid w:val="00AD60EE"/>
    <w:rsid w:val="00AE199E"/>
    <w:rsid w:val="00AE2BF0"/>
    <w:rsid w:val="00AE2C7F"/>
    <w:rsid w:val="00AE400B"/>
    <w:rsid w:val="00AF4AD4"/>
    <w:rsid w:val="00AF531E"/>
    <w:rsid w:val="00B12ACD"/>
    <w:rsid w:val="00B16C9D"/>
    <w:rsid w:val="00B26E50"/>
    <w:rsid w:val="00B374C8"/>
    <w:rsid w:val="00B411F4"/>
    <w:rsid w:val="00B432C0"/>
    <w:rsid w:val="00B64330"/>
    <w:rsid w:val="00B6708A"/>
    <w:rsid w:val="00B751DC"/>
    <w:rsid w:val="00B85366"/>
    <w:rsid w:val="00B95E26"/>
    <w:rsid w:val="00BA4CBA"/>
    <w:rsid w:val="00BB06BD"/>
    <w:rsid w:val="00BB1964"/>
    <w:rsid w:val="00BB67AB"/>
    <w:rsid w:val="00BC15C5"/>
    <w:rsid w:val="00BC2894"/>
    <w:rsid w:val="00BD4206"/>
    <w:rsid w:val="00BD4C35"/>
    <w:rsid w:val="00BD6FC7"/>
    <w:rsid w:val="00BF0267"/>
    <w:rsid w:val="00C014A2"/>
    <w:rsid w:val="00C01CBA"/>
    <w:rsid w:val="00C15892"/>
    <w:rsid w:val="00C16837"/>
    <w:rsid w:val="00C1765F"/>
    <w:rsid w:val="00C223AE"/>
    <w:rsid w:val="00C37622"/>
    <w:rsid w:val="00C4037D"/>
    <w:rsid w:val="00C45D78"/>
    <w:rsid w:val="00C51108"/>
    <w:rsid w:val="00C55013"/>
    <w:rsid w:val="00C70FA3"/>
    <w:rsid w:val="00C73322"/>
    <w:rsid w:val="00C8224D"/>
    <w:rsid w:val="00C84DE9"/>
    <w:rsid w:val="00C86CAC"/>
    <w:rsid w:val="00C968FE"/>
    <w:rsid w:val="00CC5A15"/>
    <w:rsid w:val="00CC7203"/>
    <w:rsid w:val="00CD561E"/>
    <w:rsid w:val="00CE3982"/>
    <w:rsid w:val="00CF673A"/>
    <w:rsid w:val="00D025F7"/>
    <w:rsid w:val="00D05291"/>
    <w:rsid w:val="00D11E9F"/>
    <w:rsid w:val="00D22C6F"/>
    <w:rsid w:val="00D2466F"/>
    <w:rsid w:val="00D2635E"/>
    <w:rsid w:val="00D264EE"/>
    <w:rsid w:val="00D53C8A"/>
    <w:rsid w:val="00D54AA3"/>
    <w:rsid w:val="00D67F94"/>
    <w:rsid w:val="00D7128D"/>
    <w:rsid w:val="00DA61E2"/>
    <w:rsid w:val="00DB13A7"/>
    <w:rsid w:val="00DB2EF2"/>
    <w:rsid w:val="00DB64C6"/>
    <w:rsid w:val="00DD3F68"/>
    <w:rsid w:val="00DD632C"/>
    <w:rsid w:val="00DE4842"/>
    <w:rsid w:val="00DE4D17"/>
    <w:rsid w:val="00DE7F38"/>
    <w:rsid w:val="00DF1506"/>
    <w:rsid w:val="00DF7F49"/>
    <w:rsid w:val="00E043A1"/>
    <w:rsid w:val="00E3198E"/>
    <w:rsid w:val="00E40624"/>
    <w:rsid w:val="00E515BB"/>
    <w:rsid w:val="00E63961"/>
    <w:rsid w:val="00E74822"/>
    <w:rsid w:val="00E749D4"/>
    <w:rsid w:val="00EB209A"/>
    <w:rsid w:val="00EB307D"/>
    <w:rsid w:val="00EB4637"/>
    <w:rsid w:val="00EC017C"/>
    <w:rsid w:val="00EC7DA8"/>
    <w:rsid w:val="00EE0A3F"/>
    <w:rsid w:val="00EE0E1F"/>
    <w:rsid w:val="00EE778B"/>
    <w:rsid w:val="00EF6072"/>
    <w:rsid w:val="00F10272"/>
    <w:rsid w:val="00F174B2"/>
    <w:rsid w:val="00F17EFC"/>
    <w:rsid w:val="00F237E1"/>
    <w:rsid w:val="00F5085C"/>
    <w:rsid w:val="00F55DB2"/>
    <w:rsid w:val="00F73D3B"/>
    <w:rsid w:val="00F82C10"/>
    <w:rsid w:val="00F875A2"/>
    <w:rsid w:val="00F9694E"/>
    <w:rsid w:val="00FA4D29"/>
    <w:rsid w:val="00FA78D7"/>
    <w:rsid w:val="00FC3B2E"/>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B166E4D71485F5223B413391BDE6C7E45FB1ACEB3F01CAF4F55B7983C176B40F3B3440A627B51CET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C6EB-3F6C-4240-89D1-EE46AC54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10</cp:revision>
  <dcterms:created xsi:type="dcterms:W3CDTF">2015-07-17T09:00:00Z</dcterms:created>
  <dcterms:modified xsi:type="dcterms:W3CDTF">2015-08-12T09:16:00Z</dcterms:modified>
</cp:coreProperties>
</file>